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B54E" w14:textId="77777777" w:rsidR="00AE5776" w:rsidRDefault="00AE5776" w:rsidP="00AE5776">
      <w:pPr>
        <w:pStyle w:val="ListParagraph"/>
        <w:numPr>
          <w:ilvl w:val="0"/>
          <w:numId w:val="15"/>
        </w:numPr>
      </w:pPr>
      <w:r>
        <w:t>Under the Americans with Disabilities Act (ADA), an employee with a disability may bring a trained service animal to work.  The following provisions apply:</w:t>
      </w:r>
    </w:p>
    <w:p w14:paraId="346D1AC6" w14:textId="77777777" w:rsidR="00AE5776" w:rsidRPr="00F03148" w:rsidRDefault="00F03148" w:rsidP="00AE5776">
      <w:pPr>
        <w:pStyle w:val="ListParagraph"/>
        <w:numPr>
          <w:ilvl w:val="1"/>
          <w:numId w:val="15"/>
        </w:numPr>
      </w:pPr>
      <w:r w:rsidRPr="00F03148">
        <w:t>Only d</w:t>
      </w:r>
      <w:r w:rsidR="00F30161" w:rsidRPr="00F03148">
        <w:t>ogs or miniature horses</w:t>
      </w:r>
      <w:r w:rsidR="00AE5776" w:rsidRPr="00F03148">
        <w:t xml:space="preserve"> are recognized as service animals.</w:t>
      </w:r>
    </w:p>
    <w:p w14:paraId="58A8E290" w14:textId="77777777" w:rsidR="004D059D" w:rsidRDefault="00F30161" w:rsidP="004D059D">
      <w:pPr>
        <w:pStyle w:val="ListParagraph"/>
        <w:numPr>
          <w:ilvl w:val="1"/>
          <w:numId w:val="15"/>
        </w:numPr>
      </w:pPr>
      <w:r w:rsidRPr="00F03148">
        <w:t xml:space="preserve">A service animal </w:t>
      </w:r>
      <w:r w:rsidR="00AE5776">
        <w:t>is individually trained to do work or perform tasks for a person with a disability.</w:t>
      </w:r>
    </w:p>
    <w:p w14:paraId="620896D6" w14:textId="77777777" w:rsidR="00CC500D" w:rsidRDefault="00CC500D" w:rsidP="004D059D">
      <w:pPr>
        <w:pStyle w:val="ListParagraph"/>
        <w:numPr>
          <w:ilvl w:val="1"/>
          <w:numId w:val="15"/>
        </w:numPr>
      </w:pPr>
      <w:r>
        <w:t xml:space="preserve">Animals that </w:t>
      </w:r>
      <w:r w:rsidR="00F30161">
        <w:t xml:space="preserve">only </w:t>
      </w:r>
      <w:r>
        <w:t>provide comfort, emotional support, therapy</w:t>
      </w:r>
      <w:r w:rsidR="00A47D94">
        <w:t>, or companionship are not considered service animals.</w:t>
      </w:r>
    </w:p>
    <w:p w14:paraId="7E8F787D" w14:textId="77777777" w:rsidR="004D059D" w:rsidRDefault="004D059D" w:rsidP="004D059D">
      <w:pPr>
        <w:pStyle w:val="ListParagraph"/>
        <w:numPr>
          <w:ilvl w:val="1"/>
          <w:numId w:val="15"/>
        </w:numPr>
      </w:pPr>
      <w:r>
        <w:t>Service animals must be harnessed, leashed, or tethered, unless these devices interfere with the service</w:t>
      </w:r>
      <w:r w:rsidR="009A3512">
        <w:t xml:space="preserve"> animal</w:t>
      </w:r>
      <w:r>
        <w:t>’s work or the individual’s disability</w:t>
      </w:r>
      <w:r w:rsidR="00CC500D">
        <w:t xml:space="preserve"> prevents using the device.  If this is the case, the employee must maintain control of the animal through voice, signal or other effective controls.</w:t>
      </w:r>
    </w:p>
    <w:p w14:paraId="610E5110" w14:textId="77777777" w:rsidR="00401A20" w:rsidRDefault="00401A20" w:rsidP="00401A20">
      <w:pPr>
        <w:pStyle w:val="ListParagraph"/>
        <w:ind w:left="1080"/>
      </w:pPr>
    </w:p>
    <w:p w14:paraId="7D48C42D" w14:textId="77777777" w:rsidR="00AE5776" w:rsidRDefault="00CC500D" w:rsidP="00AE5776">
      <w:pPr>
        <w:pStyle w:val="ListParagraph"/>
        <w:numPr>
          <w:ilvl w:val="0"/>
          <w:numId w:val="15"/>
        </w:numPr>
      </w:pPr>
      <w:r>
        <w:t xml:space="preserve">When it is not obvious what service an animal provides, only limited inquiries are allowed.  Staff (including members of employee’s chain of command) may </w:t>
      </w:r>
      <w:r w:rsidR="00F30161">
        <w:t xml:space="preserve">only </w:t>
      </w:r>
      <w:r>
        <w:t>ask the following questions:</w:t>
      </w:r>
    </w:p>
    <w:p w14:paraId="6B9AEBBB" w14:textId="77777777" w:rsidR="00CC500D" w:rsidRDefault="00F30161" w:rsidP="00CC500D">
      <w:pPr>
        <w:pStyle w:val="ListParagraph"/>
        <w:numPr>
          <w:ilvl w:val="1"/>
          <w:numId w:val="15"/>
        </w:numPr>
      </w:pPr>
      <w:r>
        <w:t xml:space="preserve">Is the </w:t>
      </w:r>
      <w:r w:rsidR="00CC500D">
        <w:t>service animal required because of a disability?</w:t>
      </w:r>
    </w:p>
    <w:p w14:paraId="315248AA" w14:textId="77777777" w:rsidR="00CC500D" w:rsidRDefault="00F30161" w:rsidP="00CC500D">
      <w:pPr>
        <w:pStyle w:val="ListParagraph"/>
        <w:numPr>
          <w:ilvl w:val="1"/>
          <w:numId w:val="15"/>
        </w:numPr>
      </w:pPr>
      <w:r>
        <w:t xml:space="preserve">What work or task has the service animal </w:t>
      </w:r>
      <w:r w:rsidR="00CC500D">
        <w:t>been trained to perform?</w:t>
      </w:r>
    </w:p>
    <w:p w14:paraId="3CBA729B" w14:textId="77777777" w:rsidR="00CC500D" w:rsidRDefault="00CC500D" w:rsidP="00CC500D">
      <w:pPr>
        <w:pStyle w:val="ListParagraph"/>
        <w:ind w:left="360"/>
      </w:pPr>
    </w:p>
    <w:p w14:paraId="57CB7DC6" w14:textId="77777777" w:rsidR="00CC500D" w:rsidRDefault="00CC500D" w:rsidP="00CC500D">
      <w:pPr>
        <w:pStyle w:val="ListParagraph"/>
        <w:ind w:left="360"/>
      </w:pPr>
      <w:r>
        <w:t xml:space="preserve">Staff cannot ask about the person’s disability, require medical documentation, require a special identification card or training documentation for the </w:t>
      </w:r>
      <w:r w:rsidR="00C9237E">
        <w:t>service animal</w:t>
      </w:r>
      <w:r>
        <w:t xml:space="preserve">, or ask that the </w:t>
      </w:r>
      <w:r w:rsidR="00C9237E">
        <w:t>service animal</w:t>
      </w:r>
      <w:r>
        <w:t xml:space="preserve"> demonstrate its ability to perform the work or task.</w:t>
      </w:r>
    </w:p>
    <w:p w14:paraId="34A4EA20" w14:textId="77777777" w:rsidR="00401A20" w:rsidRDefault="00401A20" w:rsidP="00401A20"/>
    <w:p w14:paraId="35B69542" w14:textId="77777777" w:rsidR="00CC500D" w:rsidRDefault="00CC500D" w:rsidP="00CC500D">
      <w:pPr>
        <w:pStyle w:val="ListParagraph"/>
        <w:numPr>
          <w:ilvl w:val="0"/>
          <w:numId w:val="15"/>
        </w:numPr>
      </w:pPr>
      <w:r>
        <w:t>Staff may not ask the employee to remove his/her service animal from the workplace unless:</w:t>
      </w:r>
    </w:p>
    <w:p w14:paraId="3888D154" w14:textId="77777777" w:rsidR="00CC500D" w:rsidRDefault="00CC500D" w:rsidP="00CC500D">
      <w:pPr>
        <w:pStyle w:val="ListParagraph"/>
        <w:numPr>
          <w:ilvl w:val="1"/>
          <w:numId w:val="15"/>
        </w:numPr>
      </w:pPr>
      <w:r>
        <w:t xml:space="preserve">The </w:t>
      </w:r>
      <w:r w:rsidR="00F30161">
        <w:t xml:space="preserve">animal </w:t>
      </w:r>
      <w:r>
        <w:t xml:space="preserve">is out of control </w:t>
      </w:r>
      <w:r w:rsidR="00F03148">
        <w:t xml:space="preserve">or disruptive </w:t>
      </w:r>
      <w:r>
        <w:t>and the handler does not take effective action to control it; or</w:t>
      </w:r>
    </w:p>
    <w:p w14:paraId="73D360E0" w14:textId="77777777" w:rsidR="00CC500D" w:rsidRDefault="00CC500D" w:rsidP="00CC500D">
      <w:pPr>
        <w:pStyle w:val="ListParagraph"/>
        <w:numPr>
          <w:ilvl w:val="1"/>
          <w:numId w:val="15"/>
        </w:numPr>
      </w:pPr>
      <w:r>
        <w:t xml:space="preserve">The </w:t>
      </w:r>
      <w:r w:rsidR="00F30161">
        <w:t xml:space="preserve">animal </w:t>
      </w:r>
      <w:r>
        <w:t>is not housebroken.</w:t>
      </w:r>
    </w:p>
    <w:p w14:paraId="0F3857A8" w14:textId="77777777" w:rsidR="00401A20" w:rsidRDefault="00401A20" w:rsidP="00401A20"/>
    <w:p w14:paraId="7F877941" w14:textId="77777777" w:rsidR="0059145A" w:rsidRPr="0059145A" w:rsidRDefault="00A47D94" w:rsidP="00AF2212">
      <w:pPr>
        <w:pStyle w:val="ListParagraph"/>
        <w:numPr>
          <w:ilvl w:val="0"/>
          <w:numId w:val="15"/>
        </w:numPr>
      </w:pPr>
      <w:r w:rsidRPr="0059145A">
        <w:t xml:space="preserve">Staff are not required to provide any care for the employee’s service </w:t>
      </w:r>
      <w:r w:rsidR="00F30161" w:rsidRPr="0059145A">
        <w:t>animal</w:t>
      </w:r>
      <w:r w:rsidRPr="0059145A">
        <w:t>.</w:t>
      </w:r>
    </w:p>
    <w:p w14:paraId="0B43BFC8" w14:textId="77777777" w:rsidR="0059145A" w:rsidRPr="0059145A" w:rsidRDefault="0059145A" w:rsidP="0059145A">
      <w:pPr>
        <w:pStyle w:val="ListParagraph"/>
        <w:ind w:left="360"/>
      </w:pPr>
    </w:p>
    <w:p w14:paraId="41211739" w14:textId="77777777" w:rsidR="000A7BC9" w:rsidRPr="0059145A" w:rsidRDefault="000A7BC9" w:rsidP="00AF2212">
      <w:pPr>
        <w:pStyle w:val="ListParagraph"/>
        <w:numPr>
          <w:ilvl w:val="0"/>
          <w:numId w:val="15"/>
        </w:numPr>
      </w:pPr>
      <w:r w:rsidRPr="0059145A">
        <w:t xml:space="preserve">If members of the employee’s chain of command have a question or concern about the employee’s disability or the employee is unable to perform an essential job function, contact </w:t>
      </w:r>
      <w:r w:rsidR="002931F9">
        <w:t xml:space="preserve">the AgriLife </w:t>
      </w:r>
      <w:r w:rsidRPr="0059145A">
        <w:t>Human Resources</w:t>
      </w:r>
      <w:r w:rsidR="002931F9">
        <w:t xml:space="preserve"> (HR) Manager</w:t>
      </w:r>
      <w:r w:rsidRPr="0059145A">
        <w:t xml:space="preserve"> to ensure proper handling.</w:t>
      </w:r>
    </w:p>
    <w:p w14:paraId="2D84CF0F" w14:textId="77777777" w:rsidR="00401A20" w:rsidRDefault="00401A20" w:rsidP="00401A20"/>
    <w:p w14:paraId="5B0834C2" w14:textId="37941FF0" w:rsidR="0085553E" w:rsidRDefault="00BD120C" w:rsidP="0085553E">
      <w:pPr>
        <w:pStyle w:val="ListParagraph"/>
        <w:numPr>
          <w:ilvl w:val="0"/>
          <w:numId w:val="15"/>
        </w:numPr>
      </w:pPr>
      <w:r>
        <w:t xml:space="preserve">The agency </w:t>
      </w:r>
      <w:r w:rsidR="00371343">
        <w:t xml:space="preserve">may </w:t>
      </w:r>
      <w:r w:rsidR="0085553E">
        <w:t xml:space="preserve">place restrictions on where a service </w:t>
      </w:r>
      <w:r w:rsidR="00DA0CD5">
        <w:t>animal</w:t>
      </w:r>
      <w:r w:rsidR="0085553E">
        <w:t xml:space="preserve"> </w:t>
      </w:r>
      <w:r w:rsidR="00371343">
        <w:t>is allowed</w:t>
      </w:r>
      <w:r w:rsidR="000A7BC9">
        <w:t xml:space="preserve"> </w:t>
      </w:r>
      <w:r w:rsidR="00AC2D07">
        <w:t xml:space="preserve">in </w:t>
      </w:r>
      <w:r w:rsidR="000A7BC9">
        <w:t xml:space="preserve">the workplace when there is a direct </w:t>
      </w:r>
      <w:r w:rsidR="0085553E">
        <w:t xml:space="preserve">threat to the employee, </w:t>
      </w:r>
      <w:r w:rsidR="000A7BC9">
        <w:t xml:space="preserve">animal </w:t>
      </w:r>
      <w:r w:rsidR="0085553E">
        <w:t xml:space="preserve">or others.  </w:t>
      </w:r>
      <w:r w:rsidR="00F45EF0">
        <w:t>Employees planning to bring a service animal into the workplace should contact the HR Manager for guidance on</w:t>
      </w:r>
      <w:r w:rsidR="00371343">
        <w:t xml:space="preserve"> the accommodations process</w:t>
      </w:r>
      <w:r w:rsidR="00F45EF0">
        <w:t xml:space="preserve">. </w:t>
      </w:r>
      <w:r w:rsidR="0085553E">
        <w:t xml:space="preserve"> </w:t>
      </w:r>
      <w:r w:rsidR="00126DC8">
        <w:t xml:space="preserve">The HR Manager will work with the employee’s department head to </w:t>
      </w:r>
      <w:r w:rsidR="00371343">
        <w:t xml:space="preserve">assess risk </w:t>
      </w:r>
      <w:r w:rsidR="00126DC8">
        <w:t xml:space="preserve">and then will notify the employee and their supervisor of any restrictions.  </w:t>
      </w:r>
      <w:r w:rsidR="0085553E">
        <w:t>Wh</w:t>
      </w:r>
      <w:r w:rsidR="002B5D03">
        <w:t xml:space="preserve">en deployed </w:t>
      </w:r>
      <w:r w:rsidR="00592852">
        <w:t xml:space="preserve">or assigned </w:t>
      </w:r>
      <w:r w:rsidR="002B5D03">
        <w:t xml:space="preserve">to </w:t>
      </w:r>
      <w:r w:rsidR="0085553E">
        <w:t>events</w:t>
      </w:r>
      <w:r w:rsidR="00F45EF0">
        <w:t xml:space="preserve"> where service animals may not go</w:t>
      </w:r>
      <w:r w:rsidR="0085553E">
        <w:t xml:space="preserve">, the employee is responsible for making arrangements for the service </w:t>
      </w:r>
      <w:r w:rsidR="000A7BC9">
        <w:t>animal</w:t>
      </w:r>
      <w:r w:rsidR="002B5D03">
        <w:t xml:space="preserve"> to be properly cared for in their absence</w:t>
      </w:r>
      <w:r w:rsidR="0085553E">
        <w:t xml:space="preserve">.  </w:t>
      </w:r>
      <w:r w:rsidR="002B5D03">
        <w:t>A</w:t>
      </w:r>
      <w:r w:rsidR="00AB5D89">
        <w:t>ppropriate arrangements are dictated by the length of the assignment.  E</w:t>
      </w:r>
      <w:r w:rsidR="002B5D03">
        <w:t>xample</w:t>
      </w:r>
      <w:r w:rsidR="00AB5D89">
        <w:t>s</w:t>
      </w:r>
      <w:r w:rsidR="000A7BC9">
        <w:t xml:space="preserve"> include</w:t>
      </w:r>
      <w:r w:rsidR="002B5D03">
        <w:t xml:space="preserve"> p</w:t>
      </w:r>
      <w:r w:rsidR="0085553E">
        <w:t xml:space="preserve">lacing </w:t>
      </w:r>
      <w:r w:rsidR="00AB5D89">
        <w:t>the</w:t>
      </w:r>
      <w:r w:rsidR="0085553E">
        <w:t xml:space="preserve"> </w:t>
      </w:r>
      <w:r w:rsidR="000A7BC9">
        <w:t xml:space="preserve">service </w:t>
      </w:r>
      <w:r w:rsidR="00AB5D89">
        <w:t>animal</w:t>
      </w:r>
      <w:r w:rsidR="0085553E">
        <w:t xml:space="preserve"> in a kennel or making arrangements for it to be taken home.</w:t>
      </w:r>
      <w:r w:rsidR="00592852">
        <w:t xml:space="preserve">  </w:t>
      </w:r>
    </w:p>
    <w:p w14:paraId="64DCED29" w14:textId="489A1DD8" w:rsidR="00401A20" w:rsidRDefault="00401A20" w:rsidP="00DC4D54">
      <w:pPr>
        <w:pStyle w:val="ListParagraph"/>
        <w:numPr>
          <w:ilvl w:val="0"/>
          <w:numId w:val="15"/>
        </w:numPr>
      </w:pPr>
      <w:r>
        <w:lastRenderedPageBreak/>
        <w:t xml:space="preserve">The employee with a service </w:t>
      </w:r>
      <w:r w:rsidR="00F30161">
        <w:t>animal</w:t>
      </w:r>
      <w:r>
        <w:t xml:space="preserve"> is solely responsible for all care and co</w:t>
      </w:r>
      <w:r w:rsidR="000A7BC9">
        <w:t xml:space="preserve">sts associated with the </w:t>
      </w:r>
      <w:r w:rsidR="00F30161">
        <w:t>animal</w:t>
      </w:r>
      <w:r>
        <w:t xml:space="preserve">, including any injuries the </w:t>
      </w:r>
      <w:r w:rsidR="00F30161">
        <w:t xml:space="preserve">animal </w:t>
      </w:r>
      <w:r>
        <w:t>may sustain while accompanying the employee in the workplace.</w:t>
      </w:r>
      <w:r w:rsidR="002B5D03">
        <w:t xml:space="preserve">  The employee is also responsible for any injury to others (including co-workers or members of the general public) or damage to property (including </w:t>
      </w:r>
      <w:r w:rsidR="00BD120C">
        <w:t xml:space="preserve">agency </w:t>
      </w:r>
      <w:r w:rsidR="002B5D03">
        <w:t xml:space="preserve">property) the service </w:t>
      </w:r>
      <w:r w:rsidR="00F30161">
        <w:t xml:space="preserve">animal </w:t>
      </w:r>
      <w:r w:rsidR="002B5D03">
        <w:t>may cause.</w:t>
      </w:r>
    </w:p>
    <w:p w14:paraId="0A833350" w14:textId="77777777" w:rsidR="00401A20" w:rsidRDefault="00401A20" w:rsidP="00401A20"/>
    <w:p w14:paraId="66542960" w14:textId="77777777" w:rsidR="00401A20" w:rsidRDefault="00401A20" w:rsidP="00DC4D54">
      <w:pPr>
        <w:pStyle w:val="ListParagraph"/>
        <w:numPr>
          <w:ilvl w:val="0"/>
          <w:numId w:val="15"/>
        </w:numPr>
      </w:pPr>
      <w:r>
        <w:t xml:space="preserve">All questions related to service animals should be directed to the </w:t>
      </w:r>
      <w:r w:rsidR="002931F9">
        <w:t>HR</w:t>
      </w:r>
      <w:r>
        <w:t xml:space="preserve"> Manager.</w:t>
      </w:r>
    </w:p>
    <w:p w14:paraId="45C4333F" w14:textId="77777777" w:rsidR="00F03148" w:rsidRDefault="00F03148" w:rsidP="00AF5B54">
      <w:pPr>
        <w:pStyle w:val="ListParagraph"/>
        <w:ind w:left="0"/>
      </w:pPr>
    </w:p>
    <w:p w14:paraId="12EEDCE5" w14:textId="77777777" w:rsidR="00F03148" w:rsidRDefault="00F03148" w:rsidP="00F03148"/>
    <w:p w14:paraId="20802711" w14:textId="361BEEAA" w:rsidR="00BD120C" w:rsidRPr="000C34EA" w:rsidRDefault="00BD120C" w:rsidP="00AF5B54">
      <w:pPr>
        <w:jc w:val="center"/>
      </w:pPr>
      <w:r>
        <w:t xml:space="preserve">CONTACT: </w:t>
      </w:r>
      <w:hyperlink r:id="rId12" w:history="1">
        <w:r w:rsidRPr="00BD120C">
          <w:rPr>
            <w:rStyle w:val="Hyperlink"/>
          </w:rPr>
          <w:t>Texas A&amp;M AgriLife Human Resource Manager</w:t>
        </w:r>
      </w:hyperlink>
      <w:r>
        <w:t>, (979) 314-5744</w:t>
      </w:r>
    </w:p>
    <w:sectPr w:rsidR="00BD120C" w:rsidRPr="000C34EA" w:rsidSect="00C0454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8BCE" w14:textId="77777777" w:rsidR="00425721" w:rsidRDefault="00425721" w:rsidP="001E3283">
      <w:r>
        <w:separator/>
      </w:r>
    </w:p>
  </w:endnote>
  <w:endnote w:type="continuationSeparator" w:id="0">
    <w:p w14:paraId="2B6145C3" w14:textId="77777777" w:rsidR="00425721" w:rsidRDefault="00425721" w:rsidP="001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B24F" w14:textId="592659B5" w:rsidR="001E3283" w:rsidRPr="00AF5B54" w:rsidRDefault="00BD120C">
    <w:pPr>
      <w:pStyle w:val="Footer"/>
      <w:pBdr>
        <w:top w:val="thinThickSmallGap" w:sz="24" w:space="1" w:color="622423" w:themeColor="accent2" w:themeShade="7F"/>
      </w:pBdr>
      <w:rPr>
        <w:rFonts w:ascii="Cambria" w:hAnsi="Cambria"/>
        <w:iCs/>
        <w:sz w:val="20"/>
        <w:szCs w:val="20"/>
      </w:rPr>
    </w:pPr>
    <w:r w:rsidRPr="00AF5B54">
      <w:rPr>
        <w:rFonts w:asciiTheme="majorHAnsi" w:hAnsiTheme="majorHAnsi"/>
        <w:i/>
        <w:sz w:val="20"/>
        <w:szCs w:val="20"/>
      </w:rPr>
      <w:t>Revised 0</w:t>
    </w:r>
    <w:r w:rsidR="00421E3E">
      <w:rPr>
        <w:rFonts w:asciiTheme="majorHAnsi" w:hAnsiTheme="majorHAnsi"/>
        <w:i/>
        <w:sz w:val="20"/>
        <w:szCs w:val="20"/>
      </w:rPr>
      <w:t>9</w:t>
    </w:r>
    <w:r w:rsidRPr="00AF5B54">
      <w:rPr>
        <w:rFonts w:asciiTheme="majorHAnsi" w:hAnsiTheme="majorHAnsi"/>
        <w:i/>
        <w:sz w:val="20"/>
        <w:szCs w:val="20"/>
      </w:rPr>
      <w:t>/</w:t>
    </w:r>
    <w:r w:rsidR="00421E3E">
      <w:rPr>
        <w:rFonts w:asciiTheme="majorHAnsi" w:hAnsiTheme="majorHAnsi"/>
        <w:i/>
        <w:sz w:val="20"/>
        <w:szCs w:val="20"/>
      </w:rPr>
      <w:t>11</w:t>
    </w:r>
    <w:r w:rsidRPr="00AF5B54">
      <w:rPr>
        <w:rFonts w:asciiTheme="majorHAnsi" w:hAnsiTheme="majorHAnsi"/>
        <w:i/>
        <w:sz w:val="20"/>
        <w:szCs w:val="20"/>
      </w:rPr>
      <w:t>/2023</w:t>
    </w:r>
    <w:r w:rsidR="001C7043" w:rsidRPr="00AF5B54">
      <w:rPr>
        <w:i/>
        <w:sz w:val="18"/>
        <w:szCs w:val="18"/>
      </w:rPr>
      <w:tab/>
    </w:r>
    <w:r w:rsidR="001C7043">
      <w:rPr>
        <w:rFonts w:ascii="Cambria" w:hAnsi="Cambria"/>
        <w:i/>
        <w:sz w:val="18"/>
        <w:szCs w:val="18"/>
      </w:rPr>
      <w:tab/>
    </w:r>
    <w:r w:rsidR="001E3283" w:rsidRPr="00AF5B54">
      <w:rPr>
        <w:rFonts w:ascii="Cambria" w:hAnsi="Cambria"/>
        <w:iCs/>
        <w:sz w:val="20"/>
        <w:szCs w:val="20"/>
      </w:rPr>
      <w:t xml:space="preserve">Page </w:t>
    </w:r>
    <w:r w:rsidR="00C0454D" w:rsidRPr="00AF5B54">
      <w:rPr>
        <w:rFonts w:ascii="Cambria" w:hAnsi="Cambria"/>
        <w:iCs/>
        <w:sz w:val="20"/>
        <w:szCs w:val="20"/>
      </w:rPr>
      <w:fldChar w:fldCharType="begin"/>
    </w:r>
    <w:r w:rsidR="00C0454D" w:rsidRPr="00AF5B54">
      <w:rPr>
        <w:rFonts w:ascii="Cambria" w:hAnsi="Cambria"/>
        <w:iCs/>
        <w:sz w:val="20"/>
        <w:szCs w:val="20"/>
      </w:rPr>
      <w:instrText xml:space="preserve"> PAGE   \* MERGEFORMAT </w:instrText>
    </w:r>
    <w:r w:rsidR="00C0454D" w:rsidRPr="00AF5B54">
      <w:rPr>
        <w:rFonts w:ascii="Cambria" w:hAnsi="Cambria"/>
        <w:iCs/>
        <w:sz w:val="20"/>
        <w:szCs w:val="20"/>
      </w:rPr>
      <w:fldChar w:fldCharType="separate"/>
    </w:r>
    <w:r w:rsidR="00B71A4C" w:rsidRPr="00AF5B54">
      <w:rPr>
        <w:rFonts w:ascii="Cambria" w:hAnsi="Cambria"/>
        <w:iCs/>
        <w:noProof/>
        <w:sz w:val="20"/>
        <w:szCs w:val="20"/>
      </w:rPr>
      <w:t>2</w:t>
    </w:r>
    <w:r w:rsidR="00C0454D" w:rsidRPr="00AF5B54">
      <w:rPr>
        <w:rFonts w:ascii="Cambria" w:hAnsi="Cambria"/>
        <w:iCs/>
        <w:sz w:val="20"/>
        <w:szCs w:val="20"/>
      </w:rPr>
      <w:fldChar w:fldCharType="end"/>
    </w:r>
  </w:p>
  <w:p w14:paraId="6247633A" w14:textId="77777777" w:rsidR="001E3283" w:rsidRPr="001C7043" w:rsidRDefault="001E3283">
    <w:pPr>
      <w:pStyle w:val="Footer"/>
      <w:rPr>
        <w:rFonts w:ascii="Cambria" w:hAnsi="Cambri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6FE9" w14:textId="77777777" w:rsidR="00425721" w:rsidRDefault="00425721" w:rsidP="001E3283">
      <w:r>
        <w:separator/>
      </w:r>
    </w:p>
  </w:footnote>
  <w:footnote w:type="continuationSeparator" w:id="0">
    <w:p w14:paraId="057411A5" w14:textId="77777777" w:rsidR="00425721" w:rsidRDefault="00425721" w:rsidP="001E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7B0B" w14:textId="77777777" w:rsidR="000C34EA" w:rsidRDefault="0051423A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  <w:r>
      <w:rPr>
        <w:noProof/>
      </w:rPr>
      <w:drawing>
        <wp:inline distT="0" distB="0" distL="0" distR="0" wp14:anchorId="2A7063D7" wp14:editId="34B30367">
          <wp:extent cx="1828800" cy="411480"/>
          <wp:effectExtent l="0" t="0" r="0" b="7620"/>
          <wp:docPr id="1" name="Picture 1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B1AD4" w14:textId="77777777" w:rsidR="006E4DA0" w:rsidRDefault="006E4DA0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</w:p>
  <w:p w14:paraId="7EA11BF1" w14:textId="77777777" w:rsidR="000C34EA" w:rsidRPr="00B6333F" w:rsidRDefault="00401A20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  <w:sz w:val="32"/>
        <w:szCs w:val="32"/>
      </w:rPr>
    </w:pPr>
    <w:r w:rsidRPr="00B6333F">
      <w:rPr>
        <w:rFonts w:eastAsiaTheme="majorEastAsia"/>
        <w:i/>
        <w:sz w:val="32"/>
        <w:szCs w:val="32"/>
      </w:rPr>
      <w:t>Service Animal Guidelines</w:t>
    </w:r>
  </w:p>
  <w:p w14:paraId="05B9E018" w14:textId="77777777" w:rsidR="000C34EA" w:rsidRDefault="000C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AF9"/>
    <w:multiLevelType w:val="hybridMultilevel"/>
    <w:tmpl w:val="4A88BF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A1B"/>
    <w:multiLevelType w:val="hybridMultilevel"/>
    <w:tmpl w:val="DC7621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402"/>
    <w:multiLevelType w:val="hybridMultilevel"/>
    <w:tmpl w:val="2DD6B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C519B"/>
    <w:multiLevelType w:val="hybridMultilevel"/>
    <w:tmpl w:val="DEAE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09D9"/>
    <w:multiLevelType w:val="hybridMultilevel"/>
    <w:tmpl w:val="FFCCE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251"/>
    <w:multiLevelType w:val="hybridMultilevel"/>
    <w:tmpl w:val="8C6E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7F12"/>
    <w:multiLevelType w:val="hybridMultilevel"/>
    <w:tmpl w:val="75FC9FF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35B3"/>
    <w:multiLevelType w:val="hybridMultilevel"/>
    <w:tmpl w:val="FCA03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73ED"/>
    <w:multiLevelType w:val="multilevel"/>
    <w:tmpl w:val="FCA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65D69"/>
    <w:multiLevelType w:val="multilevel"/>
    <w:tmpl w:val="01F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316A"/>
    <w:multiLevelType w:val="multilevel"/>
    <w:tmpl w:val="4A88BF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E30A5"/>
    <w:multiLevelType w:val="hybridMultilevel"/>
    <w:tmpl w:val="C732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A1F96"/>
    <w:multiLevelType w:val="hybridMultilevel"/>
    <w:tmpl w:val="CAD4C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22FC6"/>
    <w:multiLevelType w:val="hybridMultilevel"/>
    <w:tmpl w:val="01FA1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8345C"/>
    <w:multiLevelType w:val="multilevel"/>
    <w:tmpl w:val="DC7621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31D34"/>
    <w:multiLevelType w:val="multilevel"/>
    <w:tmpl w:val="C73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4194968">
    <w:abstractNumId w:val="0"/>
  </w:num>
  <w:num w:numId="2" w16cid:durableId="765729981">
    <w:abstractNumId w:val="10"/>
  </w:num>
  <w:num w:numId="3" w16cid:durableId="82576976">
    <w:abstractNumId w:val="12"/>
  </w:num>
  <w:num w:numId="4" w16cid:durableId="1750615030">
    <w:abstractNumId w:val="11"/>
  </w:num>
  <w:num w:numId="5" w16cid:durableId="2081562693">
    <w:abstractNumId w:val="15"/>
  </w:num>
  <w:num w:numId="6" w16cid:durableId="1409037459">
    <w:abstractNumId w:val="4"/>
  </w:num>
  <w:num w:numId="7" w16cid:durableId="1922177032">
    <w:abstractNumId w:val="1"/>
  </w:num>
  <w:num w:numId="8" w16cid:durableId="382951566">
    <w:abstractNumId w:val="14"/>
  </w:num>
  <w:num w:numId="9" w16cid:durableId="167520667">
    <w:abstractNumId w:val="13"/>
  </w:num>
  <w:num w:numId="10" w16cid:durableId="1622612138">
    <w:abstractNumId w:val="9"/>
  </w:num>
  <w:num w:numId="11" w16cid:durableId="1637568898">
    <w:abstractNumId w:val="7"/>
  </w:num>
  <w:num w:numId="12" w16cid:durableId="526793374">
    <w:abstractNumId w:val="8"/>
  </w:num>
  <w:num w:numId="13" w16cid:durableId="1971471812">
    <w:abstractNumId w:val="3"/>
  </w:num>
  <w:num w:numId="14" w16cid:durableId="587888526">
    <w:abstractNumId w:val="5"/>
  </w:num>
  <w:num w:numId="15" w16cid:durableId="1030030923">
    <w:abstractNumId w:val="2"/>
  </w:num>
  <w:num w:numId="16" w16cid:durableId="348336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kDaeXo7d74iDrxUrcjPVbFYP3oYBErj+sNC/ybIOcDHdylITGXrUjQSfJcDxkwF1t3nEnQTb52WH9J8/8V5uA==" w:salt="DVp3NJOx81oDOLTrRjNGe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E8"/>
    <w:rsid w:val="000042F1"/>
    <w:rsid w:val="00011570"/>
    <w:rsid w:val="00013A7B"/>
    <w:rsid w:val="000A7BC9"/>
    <w:rsid w:val="000C34EA"/>
    <w:rsid w:val="00126DC8"/>
    <w:rsid w:val="00197ED0"/>
    <w:rsid w:val="001C7043"/>
    <w:rsid w:val="001E3283"/>
    <w:rsid w:val="00201728"/>
    <w:rsid w:val="002931F9"/>
    <w:rsid w:val="002B5D03"/>
    <w:rsid w:val="00371343"/>
    <w:rsid w:val="00401A20"/>
    <w:rsid w:val="00421E3E"/>
    <w:rsid w:val="00425721"/>
    <w:rsid w:val="00433129"/>
    <w:rsid w:val="00490A8A"/>
    <w:rsid w:val="004D059D"/>
    <w:rsid w:val="0051423A"/>
    <w:rsid w:val="00556254"/>
    <w:rsid w:val="0059145A"/>
    <w:rsid w:val="00592852"/>
    <w:rsid w:val="0063555C"/>
    <w:rsid w:val="0066315B"/>
    <w:rsid w:val="006E4DA0"/>
    <w:rsid w:val="0074082C"/>
    <w:rsid w:val="00753E7E"/>
    <w:rsid w:val="0077383B"/>
    <w:rsid w:val="007943BA"/>
    <w:rsid w:val="007A49C8"/>
    <w:rsid w:val="0085553E"/>
    <w:rsid w:val="008D28AB"/>
    <w:rsid w:val="008F4132"/>
    <w:rsid w:val="009639CB"/>
    <w:rsid w:val="009A3512"/>
    <w:rsid w:val="009D59FF"/>
    <w:rsid w:val="00A37793"/>
    <w:rsid w:val="00A47D94"/>
    <w:rsid w:val="00A90EE8"/>
    <w:rsid w:val="00AB5D89"/>
    <w:rsid w:val="00AC2D07"/>
    <w:rsid w:val="00AE5776"/>
    <w:rsid w:val="00AF5B54"/>
    <w:rsid w:val="00B6333F"/>
    <w:rsid w:val="00B71A4C"/>
    <w:rsid w:val="00B91C86"/>
    <w:rsid w:val="00BA583D"/>
    <w:rsid w:val="00BD120C"/>
    <w:rsid w:val="00C0454D"/>
    <w:rsid w:val="00C9237E"/>
    <w:rsid w:val="00CB0FEB"/>
    <w:rsid w:val="00CC500D"/>
    <w:rsid w:val="00CE18CE"/>
    <w:rsid w:val="00D74A98"/>
    <w:rsid w:val="00DA0CD5"/>
    <w:rsid w:val="00DC4D54"/>
    <w:rsid w:val="00DD14AA"/>
    <w:rsid w:val="00E617D6"/>
    <w:rsid w:val="00EC2248"/>
    <w:rsid w:val="00F03148"/>
    <w:rsid w:val="00F30161"/>
    <w:rsid w:val="00F45EF0"/>
    <w:rsid w:val="00F56FF0"/>
    <w:rsid w:val="00F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E1D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5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28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283"/>
    <w:rPr>
      <w:sz w:val="24"/>
      <w:szCs w:val="24"/>
    </w:rPr>
  </w:style>
  <w:style w:type="paragraph" w:styleId="BalloonText">
    <w:name w:val="Balloon Text"/>
    <w:basedOn w:val="Normal"/>
    <w:link w:val="BalloonTextChar"/>
    <w:rsid w:val="00663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1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13A7B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3A7B"/>
    <w:rPr>
      <w:sz w:val="24"/>
    </w:rPr>
  </w:style>
  <w:style w:type="paragraph" w:styleId="BodyTextIndent2">
    <w:name w:val="Body Text Indent 2"/>
    <w:basedOn w:val="Normal"/>
    <w:link w:val="BodyTextIndent2Char"/>
    <w:rsid w:val="00013A7B"/>
    <w:pPr>
      <w:ind w:left="720" w:hanging="72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13A7B"/>
    <w:rPr>
      <w:sz w:val="22"/>
    </w:rPr>
  </w:style>
  <w:style w:type="character" w:styleId="Hyperlink">
    <w:name w:val="Hyperlink"/>
    <w:basedOn w:val="DefaultParagraphFont"/>
    <w:rsid w:val="00013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5776"/>
    <w:pPr>
      <w:ind w:left="720"/>
      <w:contextualSpacing/>
    </w:pPr>
  </w:style>
  <w:style w:type="paragraph" w:styleId="Revision">
    <w:name w:val="Revision"/>
    <w:hidden/>
    <w:uiPriority w:val="99"/>
    <w:semiHidden/>
    <w:rsid w:val="00BD120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12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1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lanie.Upton@tfs.tam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1FA20E681DB44886318091F9D53D6" ma:contentTypeVersion="17" ma:contentTypeDescription="Create a new document." ma:contentTypeScope="" ma:versionID="3aa49b821fcdcb6202e56b923cb2a8ea">
  <xsd:schema xmlns:xsd="http://www.w3.org/2001/XMLSchema" xmlns:xs="http://www.w3.org/2001/XMLSchema" xmlns:p="http://schemas.microsoft.com/office/2006/metadata/properties" xmlns:ns1="http://schemas.microsoft.com/sharepoint/v3" xmlns:ns2="6819ce1a-c6ed-457e-aaaa-d09a469b0545" xmlns:ns3="096f3cc7-3874-4d01-bd76-f2f69c5613b9" targetNamespace="http://schemas.microsoft.com/office/2006/metadata/properties" ma:root="true" ma:fieldsID="7bcd994a94d2e859707be7a047c4bcb7" ns1:_="" ns2:_="" ns3:_="">
    <xsd:import namespace="http://schemas.microsoft.com/sharepoint/v3"/>
    <xsd:import namespace="6819ce1a-c6ed-457e-aaaa-d09a469b0545"/>
    <xsd:import namespace="096f3cc7-3874-4d01-bd76-f2f69c5613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ce1a-c6ed-457e-aaaa-d09a469b05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8b63edd-32fd-4cd9-880b-48c3b8cbb6fc}" ma:internalName="TaxCatchAll" ma:showField="CatchAllData" ma:web="6819ce1a-c6ed-457e-aaaa-d09a469b0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f3cc7-3874-4d01-bd76-f2f69c561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331c53f-a3c3-46a3-89e8-485d927a1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19ce1a-c6ed-457e-aaaa-d09a469b0545">UEKHZ4HHEJXQ-292801454-177413</_dlc_DocId>
    <lcf76f155ced4ddcb4097134ff3c332f xmlns="096f3cc7-3874-4d01-bd76-f2f69c5613b9">
      <Terms xmlns="http://schemas.microsoft.com/office/infopath/2007/PartnerControls"/>
    </lcf76f155ced4ddcb4097134ff3c332f>
    <TaxCatchAll xmlns="6819ce1a-c6ed-457e-aaaa-d09a469b0545" xsi:nil="true"/>
    <_ip_UnifiedCompliancePolicyUIAction xmlns="http://schemas.microsoft.com/sharepoint/v3" xsi:nil="true"/>
    <_dlc_DocIdUrl xmlns="6819ce1a-c6ed-457e-aaaa-d09a469b0545">
      <Url>https://texasforestservice.sharepoint.com/sites/Share-AssociateDirectorsOffice-FIAD/_layouts/15/DocIdRedir.aspx?ID=UEKHZ4HHEJXQ-292801454-177413</Url>
      <Description>UEKHZ4HHEJXQ-292801454-177413</Description>
    </_dlc_DocIdUrl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31F2C-971D-410C-B8CB-BB6943B6BB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0B716F-69CF-43A5-B7D3-44167E624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19ce1a-c6ed-457e-aaaa-d09a469b0545"/>
    <ds:schemaRef ds:uri="096f3cc7-3874-4d01-bd76-f2f69c561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16D17-0698-4B27-9A0A-41F94A3553A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96f3cc7-3874-4d01-bd76-f2f69c5613b9"/>
    <ds:schemaRef ds:uri="6819ce1a-c6ed-457e-aaaa-d09a469b05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9A7E13-F240-480B-8234-049CC61EB1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1CDEF3-D718-46B6-8777-F9490D289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2745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2023-09-11T14:43:00Z</dcterms:created>
  <dcterms:modified xsi:type="dcterms:W3CDTF">2023-09-11T15:07:00Z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706000</vt:r8>
  </property>
  <property fmtid="{D5CDD505-2E9C-101B-9397-08002B2CF9AE}" pid="3" name="MediaServiceImageTags">
    <vt:lpwstr/>
  </property>
  <property fmtid="{D5CDD505-2E9C-101B-9397-08002B2CF9AE}" pid="4" name="ContentTypeId">
    <vt:lpwstr>0x0101000301FA20E681DB44886318091F9D53D6</vt:lpwstr>
  </property>
  <property fmtid="{D5CDD505-2E9C-101B-9397-08002B2CF9AE}" pid="5" name="_dlc_DocIdItemGuid">
    <vt:lpwstr>be1a9f75-3e34-4081-9fc9-5b0820cdeccb</vt:lpwstr>
  </property>
</Properties>
</file>