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60C73" w14:textId="77777777" w:rsidR="00163D21" w:rsidRDefault="00163D21" w:rsidP="00BD4A90">
      <w:pPr>
        <w:jc w:val="center"/>
      </w:pPr>
      <w:r>
        <w:rPr>
          <w:noProof/>
        </w:rPr>
        <w:drawing>
          <wp:inline distT="0" distB="0" distL="0" distR="0" wp14:anchorId="0392EE80" wp14:editId="36D451E8">
            <wp:extent cx="1828800" cy="411480"/>
            <wp:effectExtent l="0" t="0" r="0" b="7620"/>
            <wp:docPr id="4" name="Picture 4" descr="S:\Associate Director's Office\Administrative Procedures\Draft Admin Procedures\Admin Proc Tools\TFS Logo\TFS_RGB-maroon_gray_ty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ssociate Director's Office\Administrative Procedures\Draft Admin Procedures\Admin Proc Tools\TFS Logo\TFS_RGB-maroon_gray_typ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88CF8" w14:textId="77777777" w:rsidR="00163D21" w:rsidRDefault="00163D21" w:rsidP="00BD4A90">
      <w:pPr>
        <w:jc w:val="center"/>
      </w:pPr>
    </w:p>
    <w:p w14:paraId="6BD4BCDD" w14:textId="77777777" w:rsidR="00163D21" w:rsidRPr="00364A06" w:rsidRDefault="00163D21" w:rsidP="00BD4A90">
      <w:pPr>
        <w:jc w:val="center"/>
        <w:rPr>
          <w:b/>
        </w:rPr>
      </w:pPr>
      <w:r w:rsidRPr="00364A06">
        <w:rPr>
          <w:b/>
        </w:rPr>
        <w:t>ADMINISTRATIVE PROCEDURES</w:t>
      </w:r>
    </w:p>
    <w:p w14:paraId="5B5E6205" w14:textId="77777777" w:rsidR="00163D21" w:rsidRDefault="00163D21" w:rsidP="00BD4A90">
      <w:pPr>
        <w:jc w:val="center"/>
      </w:pP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3"/>
        <w:gridCol w:w="3787"/>
      </w:tblGrid>
      <w:tr w:rsidR="00163D21" w:rsidRPr="003C1DE0" w14:paraId="6B1B64E8" w14:textId="77777777" w:rsidTr="00043183">
        <w:tc>
          <w:tcPr>
            <w:tcW w:w="5803" w:type="dxa"/>
          </w:tcPr>
          <w:p w14:paraId="4EE33DD8" w14:textId="26D3C349" w:rsidR="00163D21" w:rsidRPr="003C1DE0" w:rsidRDefault="00163D21" w:rsidP="00BD4A90">
            <w:pPr>
              <w:ind w:left="624" w:hanging="624"/>
              <w:rPr>
                <w:b/>
              </w:rPr>
            </w:pPr>
            <w:r>
              <w:rPr>
                <w:b/>
              </w:rPr>
              <w:t>80.0</w:t>
            </w:r>
            <w:r w:rsidR="00920FC5">
              <w:rPr>
                <w:b/>
              </w:rPr>
              <w:t>9</w:t>
            </w:r>
            <w:r w:rsidR="00C60302">
              <w:rPr>
                <w:b/>
              </w:rPr>
              <w:t xml:space="preserve">  </w:t>
            </w:r>
            <w:r w:rsidR="00920FC5">
              <w:rPr>
                <w:b/>
              </w:rPr>
              <w:t>Chainsaw Operations</w:t>
            </w:r>
          </w:p>
        </w:tc>
        <w:tc>
          <w:tcPr>
            <w:tcW w:w="3787" w:type="dxa"/>
          </w:tcPr>
          <w:p w14:paraId="7EC8741C" w14:textId="50A91386" w:rsidR="00163D21" w:rsidRPr="003C1DE0" w:rsidRDefault="00642185" w:rsidP="00BD4A90">
            <w:pPr>
              <w:jc w:val="right"/>
              <w:rPr>
                <w:b/>
              </w:rPr>
            </w:pPr>
            <w:r>
              <w:rPr>
                <w:b/>
              </w:rPr>
              <w:t>Issued</w:t>
            </w:r>
            <w:r w:rsidR="00163D21" w:rsidRPr="003C1DE0">
              <w:rPr>
                <w:b/>
              </w:rPr>
              <w:t xml:space="preserve">: </w:t>
            </w:r>
            <w:r w:rsidR="00B858F4">
              <w:rPr>
                <w:b/>
              </w:rPr>
              <w:t>February 2</w:t>
            </w:r>
            <w:r w:rsidR="00E87E13">
              <w:rPr>
                <w:b/>
              </w:rPr>
              <w:t>5</w:t>
            </w:r>
            <w:r w:rsidR="00C60302">
              <w:rPr>
                <w:b/>
              </w:rPr>
              <w:t>, 202</w:t>
            </w:r>
            <w:r w:rsidR="009510C2">
              <w:rPr>
                <w:b/>
              </w:rPr>
              <w:t>5</w:t>
            </w:r>
          </w:p>
        </w:tc>
      </w:tr>
    </w:tbl>
    <w:p w14:paraId="14FB1989" w14:textId="77777777" w:rsidR="00163D21" w:rsidRDefault="00163D21" w:rsidP="00BD4A90">
      <w:pPr>
        <w:jc w:val="center"/>
      </w:pPr>
    </w:p>
    <w:p w14:paraId="000F5CFD" w14:textId="77777777" w:rsidR="00163D21" w:rsidRDefault="00163D21" w:rsidP="00BD4A90">
      <w:pPr>
        <w:ind w:left="720" w:hanging="720"/>
      </w:pPr>
      <w:r>
        <w:t>1.</w:t>
      </w:r>
      <w:r>
        <w:tab/>
      </w:r>
      <w:r w:rsidRPr="0018084C">
        <w:rPr>
          <w:u w:val="single"/>
        </w:rPr>
        <w:t>GOVERNING REGULATIONS</w:t>
      </w:r>
    </w:p>
    <w:p w14:paraId="686EFC92" w14:textId="77777777" w:rsidR="00163D21" w:rsidRPr="0018084C" w:rsidRDefault="00163D21" w:rsidP="00BD4A90"/>
    <w:p w14:paraId="04DC62C2" w14:textId="2189D0D9" w:rsidR="00163D21" w:rsidRPr="0018084C" w:rsidRDefault="00163D21" w:rsidP="00BD4A90">
      <w:pPr>
        <w:ind w:left="720"/>
      </w:pPr>
      <w:r w:rsidRPr="0018084C">
        <w:t>The</w:t>
      </w:r>
      <w:r w:rsidR="00B17CDC">
        <w:t xml:space="preserve">se procedures </w:t>
      </w:r>
      <w:r w:rsidR="0033198A">
        <w:t>are</w:t>
      </w:r>
      <w:r w:rsidRPr="0018084C">
        <w:t xml:space="preserve"> governed by </w:t>
      </w:r>
      <w:r>
        <w:t xml:space="preserve">the “Wildland Fire Qualification System Guide (PMS 310-1)” published by the </w:t>
      </w:r>
      <w:hyperlink r:id="rId8" w:history="1">
        <w:r w:rsidRPr="00686813">
          <w:rPr>
            <w:rStyle w:val="Hyperlink"/>
          </w:rPr>
          <w:t>National Wildfire Coordinating Group</w:t>
        </w:r>
      </w:hyperlink>
      <w:r>
        <w:t xml:space="preserve"> (NWCG)</w:t>
      </w:r>
      <w:r w:rsidR="00C60302">
        <w:t xml:space="preserve"> </w:t>
      </w:r>
      <w:r>
        <w:t xml:space="preserve">and the </w:t>
      </w:r>
      <w:hyperlink r:id="rId9" w:history="1">
        <w:r w:rsidRPr="00CE06E4">
          <w:rPr>
            <w:rStyle w:val="Hyperlink"/>
          </w:rPr>
          <w:t>Texas A&amp;M Forest Service</w:t>
        </w:r>
        <w:r w:rsidR="0033198A" w:rsidRPr="00CE06E4">
          <w:rPr>
            <w:rStyle w:val="Hyperlink"/>
          </w:rPr>
          <w:t xml:space="preserve"> Wildland Fire and Incident Management Team Training &amp; Qualifications Manual</w:t>
        </w:r>
      </w:hyperlink>
      <w:r>
        <w:t>.</w:t>
      </w:r>
    </w:p>
    <w:p w14:paraId="15C554F1" w14:textId="77777777" w:rsidR="00163D21" w:rsidRPr="0018084C" w:rsidRDefault="00163D21" w:rsidP="00BD4A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</w:pPr>
    </w:p>
    <w:p w14:paraId="4E585853" w14:textId="77777777" w:rsidR="00163D21" w:rsidRDefault="00163D21" w:rsidP="00BD4A90">
      <w:pPr>
        <w:ind w:left="720" w:hanging="720"/>
      </w:pPr>
      <w:r>
        <w:t>2.</w:t>
      </w:r>
      <w:r>
        <w:tab/>
      </w:r>
      <w:r>
        <w:rPr>
          <w:u w:val="single"/>
        </w:rPr>
        <w:t>PURPOSE</w:t>
      </w:r>
    </w:p>
    <w:p w14:paraId="2E413987" w14:textId="77777777" w:rsidR="00163D21" w:rsidRDefault="00163D21" w:rsidP="00BD4A90">
      <w:pPr>
        <w:ind w:left="720" w:hanging="720"/>
      </w:pPr>
    </w:p>
    <w:p w14:paraId="10AC8EA7" w14:textId="07A79F46" w:rsidR="00163D21" w:rsidRDefault="00163D21" w:rsidP="00BD4A90">
      <w:pPr>
        <w:ind w:left="720"/>
      </w:pPr>
      <w:r>
        <w:t xml:space="preserve">The purpose of </w:t>
      </w:r>
      <w:r w:rsidR="00B17CDC">
        <w:t>this procedure</w:t>
      </w:r>
      <w:r>
        <w:t xml:space="preserve"> is </w:t>
      </w:r>
      <w:r w:rsidRPr="00116703">
        <w:t xml:space="preserve">to </w:t>
      </w:r>
      <w:r w:rsidR="00B17CDC">
        <w:t xml:space="preserve">establish standards for safety, training, and experience </w:t>
      </w:r>
      <w:r w:rsidR="00642185">
        <w:t>guiding</w:t>
      </w:r>
      <w:r w:rsidR="00B17CDC">
        <w:t xml:space="preserve"> all chainsaw operations for Texas A&amp;M Forest Service personnel.</w:t>
      </w:r>
    </w:p>
    <w:p w14:paraId="46E9505E" w14:textId="77777777" w:rsidR="00163D21" w:rsidRDefault="00163D21" w:rsidP="00BD4A90"/>
    <w:p w14:paraId="7FBD0CB9" w14:textId="2656F4DD" w:rsidR="00163D21" w:rsidRDefault="00163D21" w:rsidP="00BD4A90">
      <w:pPr>
        <w:ind w:left="720" w:hanging="720"/>
      </w:pPr>
      <w:r>
        <w:t>3.</w:t>
      </w:r>
      <w:r>
        <w:tab/>
      </w:r>
      <w:r w:rsidR="00B17CDC">
        <w:rPr>
          <w:u w:val="single"/>
        </w:rPr>
        <w:t>DEFINITIONS</w:t>
      </w:r>
    </w:p>
    <w:p w14:paraId="129E089A" w14:textId="77777777" w:rsidR="00163D21" w:rsidRDefault="00163D21" w:rsidP="00BD4A90">
      <w:pPr>
        <w:ind w:left="720" w:hanging="720"/>
      </w:pPr>
    </w:p>
    <w:p w14:paraId="26D53043" w14:textId="7957E938" w:rsidR="00D93FD3" w:rsidRDefault="0033198A" w:rsidP="00BD4A90">
      <w:pPr>
        <w:ind w:left="1440" w:hanging="720"/>
      </w:pPr>
      <w:r>
        <w:t>3.1</w:t>
      </w:r>
      <w:r>
        <w:tab/>
      </w:r>
      <w:r w:rsidR="00B17CDC" w:rsidRPr="00B17CDC">
        <w:rPr>
          <w:u w:val="single"/>
        </w:rPr>
        <w:t>Chainsaw</w:t>
      </w:r>
      <w:r w:rsidR="00B17CDC">
        <w:t xml:space="preserve"> – any mechanically-driven power cutting tool with teeth set on a chain, which moves around a bar</w:t>
      </w:r>
    </w:p>
    <w:p w14:paraId="3C9AFCF5" w14:textId="77777777" w:rsidR="000A0581" w:rsidRDefault="000A0581" w:rsidP="00BD4A90">
      <w:pPr>
        <w:ind w:left="1440" w:hanging="720"/>
      </w:pPr>
    </w:p>
    <w:p w14:paraId="3A94CBB6" w14:textId="283DD51D" w:rsidR="000A0581" w:rsidRDefault="000A0581" w:rsidP="00BD4A90">
      <w:pPr>
        <w:ind w:left="1440" w:hanging="720"/>
      </w:pPr>
      <w:r>
        <w:t>3.</w:t>
      </w:r>
      <w:r w:rsidR="00022DF9">
        <w:t>2</w:t>
      </w:r>
      <w:r>
        <w:tab/>
      </w:r>
      <w:r w:rsidRPr="00767A7D">
        <w:rPr>
          <w:u w:val="single"/>
        </w:rPr>
        <w:t>Chainsaw Certifier</w:t>
      </w:r>
      <w:r>
        <w:t xml:space="preserve"> – an individual that holds the </w:t>
      </w:r>
      <w:r w:rsidR="005D12CD">
        <w:t>Intermediate</w:t>
      </w:r>
      <w:r>
        <w:t xml:space="preserve"> Faller (FAL2) qualification or higher and meets additional agency requirements to be included on the Chainsaw Operations Certifier list, which is maintained by the Texas A&amp;M Forest Service Qualifications Program</w:t>
      </w:r>
    </w:p>
    <w:p w14:paraId="61975B50" w14:textId="0696F9D6" w:rsidR="0033198A" w:rsidRDefault="0033198A" w:rsidP="00BD4A90">
      <w:pPr>
        <w:ind w:left="1440" w:hanging="720"/>
      </w:pPr>
    </w:p>
    <w:p w14:paraId="68FB3E30" w14:textId="64A5AA3B" w:rsidR="00B17CDC" w:rsidRDefault="0033198A" w:rsidP="00BD4A90">
      <w:pPr>
        <w:ind w:left="1440" w:hanging="720"/>
      </w:pPr>
      <w:r>
        <w:t>3.</w:t>
      </w:r>
      <w:r w:rsidR="00022DF9">
        <w:t>3</w:t>
      </w:r>
      <w:r>
        <w:tab/>
      </w:r>
      <w:r w:rsidR="00B17CDC" w:rsidRPr="00983953">
        <w:rPr>
          <w:u w:val="single"/>
        </w:rPr>
        <w:t>Emergency Response</w:t>
      </w:r>
      <w:r w:rsidR="00B17CDC">
        <w:t xml:space="preserve"> – a designation for actions taken by Texas A&amp;M Forest Service personnel in response to an emergency</w:t>
      </w:r>
      <w:r w:rsidR="00983953">
        <w:t xml:space="preserve"> or disaster</w:t>
      </w:r>
      <w:r w:rsidR="00B17CDC">
        <w:t xml:space="preserve">, which include but are not limited to wildfires, hurricanes, tornadoes, severe thunderstorms, floods, earthquakes, high wind events, </w:t>
      </w:r>
      <w:r w:rsidR="00983953">
        <w:t xml:space="preserve">and </w:t>
      </w:r>
      <w:r w:rsidR="00B17CDC">
        <w:t>ice storms</w:t>
      </w:r>
    </w:p>
    <w:p w14:paraId="192894EE" w14:textId="44E62502" w:rsidR="006733F7" w:rsidRDefault="006733F7" w:rsidP="00BD4A90">
      <w:pPr>
        <w:ind w:left="1440" w:hanging="720"/>
      </w:pPr>
    </w:p>
    <w:p w14:paraId="4C26A08E" w14:textId="55968D4E" w:rsidR="00983953" w:rsidRDefault="006733F7" w:rsidP="00BD4A90">
      <w:pPr>
        <w:ind w:left="1440" w:hanging="720"/>
      </w:pPr>
      <w:r>
        <w:t>3.</w:t>
      </w:r>
      <w:r w:rsidR="00022DF9">
        <w:t>4</w:t>
      </w:r>
      <w:r>
        <w:tab/>
      </w:r>
      <w:r w:rsidR="00983953" w:rsidRPr="00983953">
        <w:rPr>
          <w:u w:val="single"/>
        </w:rPr>
        <w:t>Faller Certification Committee</w:t>
      </w:r>
      <w:r w:rsidR="00983953">
        <w:t xml:space="preserve"> – an interagency group of qualified Intermediate Fallers (FAL2) or higher governed by Administrative Procedure 80.08 that serve to provide input and recommendations on chainsaw operations within the agency</w:t>
      </w:r>
    </w:p>
    <w:p w14:paraId="59E95AE4" w14:textId="6850C87F" w:rsidR="00983953" w:rsidRDefault="00983953" w:rsidP="00BD4A90">
      <w:pPr>
        <w:ind w:left="1440" w:hanging="720"/>
      </w:pPr>
    </w:p>
    <w:p w14:paraId="7E28B103" w14:textId="27B579C2" w:rsidR="00983953" w:rsidRDefault="00983953" w:rsidP="00BD4A90">
      <w:pPr>
        <w:ind w:left="1440" w:hanging="720"/>
      </w:pPr>
      <w:r>
        <w:t>3.</w:t>
      </w:r>
      <w:r w:rsidR="00022DF9">
        <w:t>5</w:t>
      </w:r>
      <w:r>
        <w:tab/>
      </w:r>
      <w:r w:rsidRPr="00983953">
        <w:rPr>
          <w:u w:val="single"/>
        </w:rPr>
        <w:t>Faller</w:t>
      </w:r>
      <w:r>
        <w:t xml:space="preserve"> – a title given to an individual that has completed the training</w:t>
      </w:r>
      <w:r w:rsidR="00767A7D">
        <w:t>, fitness,</w:t>
      </w:r>
      <w:r>
        <w:t xml:space="preserve"> and experience requirements to obtain one of the NWCG qualifications for chainsaw operations.  This includes Basic Faller (FAL3), Intermediate Faller (FAL2), and Advanced Faller (FAL1).</w:t>
      </w:r>
    </w:p>
    <w:p w14:paraId="47EC5057" w14:textId="77777777" w:rsidR="00022DF9" w:rsidRDefault="00022DF9" w:rsidP="00BD4A90">
      <w:pPr>
        <w:ind w:left="1440" w:hanging="720"/>
      </w:pPr>
    </w:p>
    <w:p w14:paraId="361183D7" w14:textId="1DABDA73" w:rsidR="00022DF9" w:rsidRDefault="00022DF9" w:rsidP="00BD4A90">
      <w:pPr>
        <w:ind w:left="1440" w:hanging="720"/>
      </w:pPr>
      <w:r>
        <w:t>3.6</w:t>
      </w:r>
      <w:r>
        <w:tab/>
      </w:r>
      <w:r w:rsidRPr="00767A7D">
        <w:rPr>
          <w:u w:val="single"/>
        </w:rPr>
        <w:t>Final Evaluator</w:t>
      </w:r>
      <w:r>
        <w:t xml:space="preserve"> – an individual that meets the agency standards to sign the Final Evaluator Verification section of an NWCG Faller Position Task Book</w:t>
      </w:r>
    </w:p>
    <w:p w14:paraId="51611347" w14:textId="77777777" w:rsidR="00022DF9" w:rsidRDefault="00022DF9" w:rsidP="00BD4A90">
      <w:pPr>
        <w:ind w:left="1440" w:hanging="720"/>
      </w:pPr>
    </w:p>
    <w:p w14:paraId="78600BEE" w14:textId="297A3C1E" w:rsidR="00022DF9" w:rsidRDefault="00022DF9" w:rsidP="00BD4A90">
      <w:pPr>
        <w:ind w:left="1440" w:hanging="720"/>
      </w:pPr>
      <w:r>
        <w:lastRenderedPageBreak/>
        <w:t>3.7</w:t>
      </w:r>
      <w:r>
        <w:tab/>
      </w:r>
      <w:r w:rsidRPr="003C7AB3">
        <w:rPr>
          <w:u w:val="single"/>
        </w:rPr>
        <w:t>General</w:t>
      </w:r>
      <w:r>
        <w:rPr>
          <w:u w:val="single"/>
        </w:rPr>
        <w:t>-</w:t>
      </w:r>
      <w:r w:rsidRPr="003C7AB3">
        <w:rPr>
          <w:u w:val="single"/>
        </w:rPr>
        <w:t>Purpose Chainsaw Operator</w:t>
      </w:r>
      <w:r>
        <w:t xml:space="preserve"> – an individual capable of operating a chainsaw under the parameters outlined within this procedure, not associated with emergency response operations</w:t>
      </w:r>
    </w:p>
    <w:p w14:paraId="3006F49C" w14:textId="77777777" w:rsidR="00022DF9" w:rsidRDefault="00022DF9" w:rsidP="00BD4A90">
      <w:pPr>
        <w:ind w:left="1440" w:hanging="720"/>
      </w:pPr>
    </w:p>
    <w:p w14:paraId="15E2D0CD" w14:textId="04A6317C" w:rsidR="00022DF9" w:rsidRDefault="00022DF9" w:rsidP="00BD4A90">
      <w:pPr>
        <w:ind w:left="1440" w:hanging="720"/>
      </w:pPr>
      <w:r>
        <w:t>3.8</w:t>
      </w:r>
      <w:r>
        <w:tab/>
      </w:r>
      <w:r w:rsidRPr="009A34BC">
        <w:rPr>
          <w:u w:val="single"/>
        </w:rPr>
        <w:t>Job Hazard Analysis (JHA)</w:t>
      </w:r>
      <w:r>
        <w:t xml:space="preserve"> – a process that identifies hazards associated with work projects and worksites and identifies protective equipment or modified work procedures needed</w:t>
      </w:r>
    </w:p>
    <w:p w14:paraId="17B6B1E8" w14:textId="77777777" w:rsidR="00022DF9" w:rsidRDefault="00022DF9" w:rsidP="00BD4A90">
      <w:pPr>
        <w:ind w:left="1440" w:hanging="720"/>
      </w:pPr>
    </w:p>
    <w:p w14:paraId="4329ABC9" w14:textId="033357B5" w:rsidR="003C7AB3" w:rsidRDefault="003C7AB3" w:rsidP="00BD4A90">
      <w:pPr>
        <w:ind w:left="1440" w:hanging="720"/>
      </w:pPr>
      <w:r>
        <w:t>3.</w:t>
      </w:r>
      <w:r w:rsidR="00022DF9">
        <w:t>9</w:t>
      </w:r>
      <w:r>
        <w:tab/>
      </w:r>
      <w:r w:rsidRPr="003C7AB3">
        <w:rPr>
          <w:u w:val="single"/>
        </w:rPr>
        <w:t>Position Task Book (PTB)</w:t>
      </w:r>
      <w:r>
        <w:t xml:space="preserve"> – a standardized document that outlines the knowledge, skills, and experience required to successfully perform the expected duties of the qualification </w:t>
      </w:r>
      <w:r w:rsidR="00642185">
        <w:t>designated by the</w:t>
      </w:r>
      <w:r>
        <w:t xml:space="preserve"> PTB</w:t>
      </w:r>
    </w:p>
    <w:p w14:paraId="0A1476D6" w14:textId="77777777" w:rsidR="00022DF9" w:rsidRDefault="00022DF9" w:rsidP="00BD4A90">
      <w:pPr>
        <w:ind w:left="1440" w:hanging="720"/>
      </w:pPr>
    </w:p>
    <w:p w14:paraId="4E1FAD55" w14:textId="355E1FA0" w:rsidR="00022DF9" w:rsidRDefault="00022DF9" w:rsidP="00BD4A90">
      <w:pPr>
        <w:ind w:left="1440" w:hanging="720"/>
      </w:pPr>
      <w:r>
        <w:t>3.10</w:t>
      </w:r>
      <w:r>
        <w:tab/>
      </w:r>
      <w:r w:rsidRPr="00D54338">
        <w:rPr>
          <w:u w:val="single"/>
        </w:rPr>
        <w:t>Risk Assessment (RA)</w:t>
      </w:r>
      <w:r>
        <w:t xml:space="preserve"> – a systematic process to comprehend the nature of risk and express and evaluate risk with the available knowledge</w:t>
      </w:r>
    </w:p>
    <w:p w14:paraId="3C823E60" w14:textId="77777777" w:rsidR="00022DF9" w:rsidRDefault="00022DF9" w:rsidP="00BD4A90">
      <w:pPr>
        <w:ind w:left="1440" w:hanging="720"/>
      </w:pPr>
    </w:p>
    <w:p w14:paraId="6B9FB78C" w14:textId="73C7B23C" w:rsidR="00022DF9" w:rsidRDefault="00022DF9" w:rsidP="00BD4A90">
      <w:pPr>
        <w:ind w:left="1440" w:hanging="720"/>
      </w:pPr>
      <w:r>
        <w:t>3.11</w:t>
      </w:r>
      <w:r>
        <w:tab/>
      </w:r>
      <w:r w:rsidRPr="009444B2">
        <w:rPr>
          <w:u w:val="single"/>
        </w:rPr>
        <w:t>Safety Data Sheet (SDS)</w:t>
      </w:r>
      <w:r>
        <w:t xml:space="preserve"> – a document that provides information on the hazards of working with a chemical and how to ensure safety</w:t>
      </w:r>
    </w:p>
    <w:p w14:paraId="3DE83CC9" w14:textId="77777777" w:rsidR="00022DF9" w:rsidRDefault="00022DF9" w:rsidP="00BD4A90">
      <w:pPr>
        <w:ind w:left="1440" w:hanging="720"/>
      </w:pPr>
    </w:p>
    <w:p w14:paraId="1170B8CC" w14:textId="5A155832" w:rsidR="00022DF9" w:rsidRDefault="00022DF9" w:rsidP="00BD4A90">
      <w:pPr>
        <w:ind w:left="1440" w:hanging="720"/>
      </w:pPr>
      <w:r>
        <w:t>3.12</w:t>
      </w:r>
      <w:r>
        <w:tab/>
      </w:r>
      <w:r w:rsidRPr="009C4E3C">
        <w:rPr>
          <w:u w:val="single"/>
        </w:rPr>
        <w:t>Swamper</w:t>
      </w:r>
      <w:r>
        <w:t xml:space="preserve"> – an individual that works with a Faller or General-Purpose Chainsaw Operator that assists them with safety, situational awareness, and removal of brush or debris during chainsaw operations</w:t>
      </w:r>
    </w:p>
    <w:p w14:paraId="6B7F67E6" w14:textId="77777777" w:rsidR="003C7AB3" w:rsidRDefault="003C7AB3" w:rsidP="00BD4A90">
      <w:pPr>
        <w:ind w:left="1440" w:hanging="720"/>
      </w:pPr>
    </w:p>
    <w:p w14:paraId="689FF23C" w14:textId="7BE8DF66" w:rsidR="00983953" w:rsidRDefault="00983953" w:rsidP="00BD4A90">
      <w:pPr>
        <w:ind w:left="1440" w:hanging="720"/>
      </w:pPr>
      <w:r>
        <w:t>3.</w:t>
      </w:r>
      <w:r w:rsidR="00022DF9">
        <w:t>13</w:t>
      </w:r>
      <w:r>
        <w:tab/>
      </w:r>
      <w:r w:rsidRPr="00767A7D">
        <w:rPr>
          <w:u w:val="single"/>
        </w:rPr>
        <w:t>Trainee</w:t>
      </w:r>
      <w:r>
        <w:t xml:space="preserve"> – an individual that </w:t>
      </w:r>
      <w:r w:rsidR="00767A7D">
        <w:t xml:space="preserve">currently has an NWCG Position Task Book open </w:t>
      </w:r>
      <w:r w:rsidR="00642185">
        <w:t xml:space="preserve">and is </w:t>
      </w:r>
      <w:r w:rsidR="00767A7D">
        <w:t xml:space="preserve">working to obtain </w:t>
      </w:r>
      <w:r w:rsidR="00642185">
        <w:t>the designated</w:t>
      </w:r>
      <w:r w:rsidR="00767A7D">
        <w:t xml:space="preserve"> qualification</w:t>
      </w:r>
    </w:p>
    <w:p w14:paraId="16FDF588" w14:textId="77777777" w:rsidR="009C4E3C" w:rsidRDefault="009C4E3C" w:rsidP="00BD4A90">
      <w:pPr>
        <w:ind w:left="1440" w:hanging="720"/>
      </w:pPr>
    </w:p>
    <w:p w14:paraId="07102604" w14:textId="12246D21" w:rsidR="00163D21" w:rsidRDefault="009C77F0" w:rsidP="00E87E13">
      <w:pPr>
        <w:ind w:left="720"/>
      </w:pPr>
      <w:r>
        <w:t>3.</w:t>
      </w:r>
      <w:r w:rsidR="00F4227B">
        <w:t>1</w:t>
      </w:r>
      <w:r w:rsidR="00022DF9">
        <w:t>4</w:t>
      </w:r>
      <w:r>
        <w:tab/>
      </w:r>
      <w:r w:rsidRPr="009C77F0">
        <w:rPr>
          <w:u w:val="single"/>
        </w:rPr>
        <w:t>Work Capacity Test (WCT)</w:t>
      </w:r>
      <w:r>
        <w:t xml:space="preserve"> – a fitness test established by NWCG that is used to ensure individuals </w:t>
      </w:r>
      <w:r w:rsidR="00642185">
        <w:t>maintain a minimum level of physical fitness necessary</w:t>
      </w:r>
      <w:r>
        <w:t xml:space="preserve"> to carry out duties defined by certain NWCG qualifications.</w:t>
      </w:r>
    </w:p>
    <w:p w14:paraId="1F14A8A1" w14:textId="77777777" w:rsidR="007A3B8B" w:rsidRDefault="007A3B8B" w:rsidP="00BD4A90"/>
    <w:p w14:paraId="118F1BFB" w14:textId="59222040" w:rsidR="00163D21" w:rsidRDefault="00163D21" w:rsidP="00BD4A90">
      <w:pPr>
        <w:pStyle w:val="BodyTextIndent"/>
        <w:rPr>
          <w:szCs w:val="24"/>
        </w:rPr>
      </w:pPr>
      <w:r>
        <w:rPr>
          <w:szCs w:val="24"/>
        </w:rPr>
        <w:t>4.</w:t>
      </w:r>
      <w:r>
        <w:rPr>
          <w:szCs w:val="24"/>
        </w:rPr>
        <w:tab/>
      </w:r>
      <w:r>
        <w:rPr>
          <w:szCs w:val="24"/>
          <w:u w:val="single"/>
        </w:rPr>
        <w:t>RE</w:t>
      </w:r>
      <w:r w:rsidR="00767A7D">
        <w:rPr>
          <w:szCs w:val="24"/>
          <w:u w:val="single"/>
        </w:rPr>
        <w:t>QUIREMENTS</w:t>
      </w:r>
    </w:p>
    <w:p w14:paraId="3A312C53" w14:textId="77777777" w:rsidR="00163D21" w:rsidRDefault="00163D21" w:rsidP="00BD4A90">
      <w:pPr>
        <w:pStyle w:val="BodyTextIndent"/>
        <w:rPr>
          <w:szCs w:val="24"/>
        </w:rPr>
      </w:pPr>
    </w:p>
    <w:p w14:paraId="0B7E3237" w14:textId="1F12AA72" w:rsidR="00767A7D" w:rsidRDefault="00767A7D" w:rsidP="00BD4A90">
      <w:pPr>
        <w:pStyle w:val="BodyTextIndent"/>
        <w:ind w:left="1440"/>
        <w:rPr>
          <w:szCs w:val="24"/>
        </w:rPr>
      </w:pPr>
      <w:r>
        <w:rPr>
          <w:szCs w:val="24"/>
        </w:rPr>
        <w:t>4.1</w:t>
      </w:r>
      <w:r>
        <w:rPr>
          <w:szCs w:val="24"/>
        </w:rPr>
        <w:tab/>
        <w:t xml:space="preserve">Any Texas A&amp;M Forest Service personnel that operate a chainsaw during Emergency Response operations must follow the standards and requirements established in the </w:t>
      </w:r>
      <w:hyperlink r:id="rId10" w:history="1">
        <w:r w:rsidRPr="00056734">
          <w:rPr>
            <w:rStyle w:val="Hyperlink"/>
            <w:szCs w:val="24"/>
          </w:rPr>
          <w:t xml:space="preserve">Texas A&amp;M Forest Service Wildfire </w:t>
        </w:r>
        <w:r w:rsidR="00642185" w:rsidRPr="00056734">
          <w:rPr>
            <w:rStyle w:val="Hyperlink"/>
            <w:szCs w:val="24"/>
          </w:rPr>
          <w:t>and</w:t>
        </w:r>
        <w:r w:rsidRPr="00056734">
          <w:rPr>
            <w:rStyle w:val="Hyperlink"/>
            <w:szCs w:val="24"/>
          </w:rPr>
          <w:t xml:space="preserve"> Incident Management Team Training &amp; Qualifications Manual</w:t>
        </w:r>
      </w:hyperlink>
      <w:r>
        <w:rPr>
          <w:szCs w:val="24"/>
        </w:rPr>
        <w:t>.  This includes:</w:t>
      </w:r>
    </w:p>
    <w:p w14:paraId="655A81EA" w14:textId="3EA78F53" w:rsidR="00767A7D" w:rsidRDefault="00767A7D" w:rsidP="00BD4A90">
      <w:pPr>
        <w:pStyle w:val="BodyTextIndent"/>
        <w:ind w:left="1440"/>
        <w:rPr>
          <w:szCs w:val="24"/>
        </w:rPr>
      </w:pPr>
      <w:r>
        <w:rPr>
          <w:szCs w:val="24"/>
        </w:rPr>
        <w:tab/>
      </w:r>
    </w:p>
    <w:p w14:paraId="3D323666" w14:textId="4EC169CF" w:rsidR="00F273D3" w:rsidRDefault="00F273D3" w:rsidP="00BD4A90">
      <w:pPr>
        <w:pStyle w:val="BodyTextIndent"/>
        <w:ind w:left="2160"/>
        <w:rPr>
          <w:szCs w:val="24"/>
        </w:rPr>
      </w:pPr>
      <w:r>
        <w:rPr>
          <w:szCs w:val="24"/>
        </w:rPr>
        <w:t>4.1.1</w:t>
      </w:r>
      <w:r>
        <w:rPr>
          <w:szCs w:val="24"/>
        </w:rPr>
        <w:tab/>
        <w:t>Successful completion of NWCG S-212, Wildland Fire Chain</w:t>
      </w:r>
      <w:r w:rsidR="00642185">
        <w:rPr>
          <w:szCs w:val="24"/>
        </w:rPr>
        <w:t xml:space="preserve"> S</w:t>
      </w:r>
      <w:r>
        <w:rPr>
          <w:szCs w:val="24"/>
        </w:rPr>
        <w:t>aws training</w:t>
      </w:r>
    </w:p>
    <w:p w14:paraId="7735AA96" w14:textId="77777777" w:rsidR="00F273D3" w:rsidRDefault="00F273D3" w:rsidP="00BD4A90">
      <w:pPr>
        <w:pStyle w:val="BodyTextIndent"/>
        <w:ind w:left="2160"/>
        <w:rPr>
          <w:szCs w:val="24"/>
        </w:rPr>
      </w:pPr>
    </w:p>
    <w:p w14:paraId="308A322D" w14:textId="2A0AB318" w:rsidR="00F273D3" w:rsidRDefault="00F273D3" w:rsidP="00BD4A90">
      <w:pPr>
        <w:pStyle w:val="BodyTextIndent"/>
        <w:ind w:left="2160"/>
        <w:rPr>
          <w:szCs w:val="24"/>
        </w:rPr>
      </w:pPr>
      <w:r>
        <w:rPr>
          <w:szCs w:val="24"/>
        </w:rPr>
        <w:t>4.1.2</w:t>
      </w:r>
      <w:r>
        <w:rPr>
          <w:szCs w:val="24"/>
        </w:rPr>
        <w:tab/>
        <w:t>Current as a</w:t>
      </w:r>
      <w:r w:rsidR="003C7AB3">
        <w:rPr>
          <w:szCs w:val="24"/>
        </w:rPr>
        <w:t>n NWCG</w:t>
      </w:r>
      <w:r>
        <w:rPr>
          <w:szCs w:val="24"/>
        </w:rPr>
        <w:t xml:space="preserve"> Basic Faller (FAL3) trainee, at a minimum</w:t>
      </w:r>
      <w:r w:rsidR="00384789">
        <w:rPr>
          <w:szCs w:val="24"/>
        </w:rPr>
        <w:t>.  Must have taken S-212 and be qualified as an NWCG Firefighter Type 2</w:t>
      </w:r>
      <w:r w:rsidR="00C151DA">
        <w:rPr>
          <w:szCs w:val="24"/>
        </w:rPr>
        <w:t xml:space="preserve"> (</w:t>
      </w:r>
      <w:r w:rsidR="00384789">
        <w:rPr>
          <w:szCs w:val="24"/>
        </w:rPr>
        <w:t>FFT2</w:t>
      </w:r>
      <w:r w:rsidR="00C151DA">
        <w:rPr>
          <w:szCs w:val="24"/>
        </w:rPr>
        <w:t>)</w:t>
      </w:r>
      <w:r w:rsidR="00384789">
        <w:rPr>
          <w:szCs w:val="24"/>
        </w:rPr>
        <w:t xml:space="preserve"> prior to initiating a FAL3 Position Task Book</w:t>
      </w:r>
      <w:r w:rsidR="003C7AB3">
        <w:rPr>
          <w:szCs w:val="24"/>
        </w:rPr>
        <w:t xml:space="preserve"> (PTB)</w:t>
      </w:r>
    </w:p>
    <w:p w14:paraId="0E9B364A" w14:textId="737E7312" w:rsidR="00F273D3" w:rsidRDefault="00F273D3" w:rsidP="00BD4A90">
      <w:pPr>
        <w:pStyle w:val="BodyTextIndent"/>
        <w:ind w:left="2160"/>
        <w:rPr>
          <w:szCs w:val="24"/>
        </w:rPr>
      </w:pPr>
    </w:p>
    <w:p w14:paraId="00DADD56" w14:textId="1495530A" w:rsidR="003C7AB3" w:rsidRDefault="00F273D3" w:rsidP="00BD4A90">
      <w:pPr>
        <w:pStyle w:val="BodyTextIndent"/>
        <w:ind w:left="2160"/>
        <w:rPr>
          <w:szCs w:val="24"/>
        </w:rPr>
      </w:pPr>
      <w:r>
        <w:rPr>
          <w:szCs w:val="24"/>
        </w:rPr>
        <w:t>4.1.3</w:t>
      </w:r>
      <w:r>
        <w:rPr>
          <w:szCs w:val="24"/>
        </w:rPr>
        <w:tab/>
      </w:r>
      <w:r w:rsidR="009C77F0">
        <w:rPr>
          <w:szCs w:val="24"/>
        </w:rPr>
        <w:t xml:space="preserve">A </w:t>
      </w:r>
      <w:r w:rsidR="00642185">
        <w:rPr>
          <w:szCs w:val="24"/>
        </w:rPr>
        <w:t>F</w:t>
      </w:r>
      <w:r w:rsidR="009C77F0">
        <w:rPr>
          <w:szCs w:val="24"/>
        </w:rPr>
        <w:t>aller</w:t>
      </w:r>
      <w:r w:rsidR="00642185">
        <w:rPr>
          <w:szCs w:val="24"/>
        </w:rPr>
        <w:t xml:space="preserve"> trainee</w:t>
      </w:r>
      <w:r w:rsidR="009C77F0">
        <w:rPr>
          <w:szCs w:val="24"/>
        </w:rPr>
        <w:t xml:space="preserve"> must always operate </w:t>
      </w:r>
      <w:r w:rsidR="008A3FEB">
        <w:rPr>
          <w:szCs w:val="24"/>
        </w:rPr>
        <w:t xml:space="preserve">a chainsaw </w:t>
      </w:r>
      <w:r w:rsidR="009C77F0">
        <w:rPr>
          <w:szCs w:val="24"/>
        </w:rPr>
        <w:t>under the supervision of a Faller that is fully qualified at or above the level the trainee is working toward</w:t>
      </w:r>
    </w:p>
    <w:p w14:paraId="2D13FE44" w14:textId="730E3F75" w:rsidR="003C7AB3" w:rsidRDefault="003C7AB3" w:rsidP="00BD4A90">
      <w:pPr>
        <w:pStyle w:val="BodyTextIndent"/>
        <w:ind w:left="2160"/>
        <w:rPr>
          <w:szCs w:val="24"/>
        </w:rPr>
      </w:pPr>
    </w:p>
    <w:p w14:paraId="04A553A8" w14:textId="3E329C2C" w:rsidR="003C7AB3" w:rsidRDefault="003C7AB3" w:rsidP="00BD4A90">
      <w:pPr>
        <w:pStyle w:val="BodyTextIndent"/>
        <w:ind w:left="2160"/>
        <w:rPr>
          <w:szCs w:val="24"/>
        </w:rPr>
      </w:pPr>
      <w:r>
        <w:rPr>
          <w:szCs w:val="24"/>
        </w:rPr>
        <w:t>4.1.4</w:t>
      </w:r>
      <w:r>
        <w:rPr>
          <w:szCs w:val="24"/>
        </w:rPr>
        <w:tab/>
      </w:r>
      <w:r w:rsidR="00F4227B">
        <w:rPr>
          <w:szCs w:val="24"/>
        </w:rPr>
        <w:t xml:space="preserve">A final evaluator for a </w:t>
      </w:r>
      <w:r w:rsidR="00642185">
        <w:rPr>
          <w:szCs w:val="24"/>
        </w:rPr>
        <w:t>Basic Faller (</w:t>
      </w:r>
      <w:r w:rsidR="00F4227B">
        <w:rPr>
          <w:szCs w:val="24"/>
        </w:rPr>
        <w:t>FAL3</w:t>
      </w:r>
      <w:r w:rsidR="00642185">
        <w:rPr>
          <w:szCs w:val="24"/>
        </w:rPr>
        <w:t>)</w:t>
      </w:r>
      <w:r w:rsidR="00F4227B">
        <w:rPr>
          <w:szCs w:val="24"/>
        </w:rPr>
        <w:t xml:space="preserve"> PTB must be a qualified Intermediate Faller (FAL2) or higher.  A final evaluator for a FAL2 PTB </w:t>
      </w:r>
      <w:r w:rsidR="00F4227B">
        <w:rPr>
          <w:szCs w:val="24"/>
        </w:rPr>
        <w:lastRenderedPageBreak/>
        <w:t>must be an agency-approved Chainsaw Certifier</w:t>
      </w:r>
      <w:r w:rsidR="00CE06E4">
        <w:rPr>
          <w:szCs w:val="24"/>
        </w:rPr>
        <w:t xml:space="preserve"> (Chainsaw Certifier requirements are outlined in the Training &amp; Qualifications Manual)</w:t>
      </w:r>
      <w:r w:rsidR="00F4227B">
        <w:rPr>
          <w:szCs w:val="24"/>
        </w:rPr>
        <w:t xml:space="preserve"> that is a FAL2 or higher.  A final evaluator for an Advanced Faller (FAL1) PTB must be an agency-approved </w:t>
      </w:r>
      <w:r w:rsidR="00424AAD">
        <w:rPr>
          <w:szCs w:val="24"/>
        </w:rPr>
        <w:t>FAL1</w:t>
      </w:r>
      <w:r w:rsidR="00F4227B">
        <w:rPr>
          <w:szCs w:val="24"/>
        </w:rPr>
        <w:t xml:space="preserve"> Certifier</w:t>
      </w:r>
    </w:p>
    <w:p w14:paraId="60710D47" w14:textId="77777777" w:rsidR="003C7AB3" w:rsidRDefault="003C7AB3" w:rsidP="00BD4A90">
      <w:pPr>
        <w:pStyle w:val="BodyTextIndent"/>
        <w:ind w:left="2160"/>
        <w:rPr>
          <w:szCs w:val="24"/>
        </w:rPr>
      </w:pPr>
    </w:p>
    <w:p w14:paraId="0FAC0F66" w14:textId="3B2C2144" w:rsidR="009C77F0" w:rsidRDefault="009C77F0" w:rsidP="00BD4A90">
      <w:pPr>
        <w:pStyle w:val="BodyTextIndent"/>
        <w:ind w:left="2160"/>
        <w:rPr>
          <w:szCs w:val="24"/>
        </w:rPr>
      </w:pPr>
      <w:r>
        <w:rPr>
          <w:szCs w:val="24"/>
        </w:rPr>
        <w:t>4.1.</w:t>
      </w:r>
      <w:r w:rsidR="00F4227B">
        <w:rPr>
          <w:szCs w:val="24"/>
        </w:rPr>
        <w:t>5</w:t>
      </w:r>
      <w:r>
        <w:rPr>
          <w:szCs w:val="24"/>
        </w:rPr>
        <w:tab/>
        <w:t>Maintain</w:t>
      </w:r>
      <w:r w:rsidR="00424AAD">
        <w:rPr>
          <w:szCs w:val="24"/>
        </w:rPr>
        <w:t xml:space="preserve">, at a minimum, a </w:t>
      </w:r>
      <w:r>
        <w:rPr>
          <w:szCs w:val="24"/>
        </w:rPr>
        <w:t xml:space="preserve">Moderate </w:t>
      </w:r>
      <w:r w:rsidR="003C7AB3">
        <w:rPr>
          <w:szCs w:val="24"/>
        </w:rPr>
        <w:t>Work Capacity Test (</w:t>
      </w:r>
      <w:r>
        <w:rPr>
          <w:szCs w:val="24"/>
        </w:rPr>
        <w:t>WCT</w:t>
      </w:r>
      <w:r w:rsidR="003C7AB3">
        <w:rPr>
          <w:szCs w:val="24"/>
        </w:rPr>
        <w:t>)</w:t>
      </w:r>
      <w:r>
        <w:rPr>
          <w:szCs w:val="24"/>
        </w:rPr>
        <w:t xml:space="preserve"> for operating on Texas incidents and Arduous for non-Texas incidents</w:t>
      </w:r>
    </w:p>
    <w:p w14:paraId="1F88564E" w14:textId="4C63AD46" w:rsidR="008A3FEB" w:rsidRDefault="008A3FEB" w:rsidP="00BD4A90">
      <w:pPr>
        <w:pStyle w:val="BodyTextIndent"/>
        <w:ind w:left="2160"/>
        <w:rPr>
          <w:szCs w:val="24"/>
        </w:rPr>
      </w:pPr>
    </w:p>
    <w:p w14:paraId="0F26B2D0" w14:textId="123EC045" w:rsidR="00F4227B" w:rsidRDefault="00F4227B" w:rsidP="00BD4A90">
      <w:pPr>
        <w:pStyle w:val="BodyTextIndent"/>
        <w:ind w:left="2160"/>
        <w:rPr>
          <w:szCs w:val="24"/>
        </w:rPr>
      </w:pPr>
      <w:r>
        <w:rPr>
          <w:szCs w:val="24"/>
        </w:rPr>
        <w:t>4.1.6</w:t>
      </w:r>
      <w:r>
        <w:rPr>
          <w:szCs w:val="24"/>
        </w:rPr>
        <w:tab/>
        <w:t xml:space="preserve">After a final evaluation is complete, the PTB must be evaluated by the Faller Certification Committee to determine </w:t>
      </w:r>
      <w:r w:rsidR="00642185">
        <w:rPr>
          <w:szCs w:val="24"/>
        </w:rPr>
        <w:t>that</w:t>
      </w:r>
      <w:r>
        <w:rPr>
          <w:szCs w:val="24"/>
        </w:rPr>
        <w:t xml:space="preserve"> it meets requirements and expectations for the qualification</w:t>
      </w:r>
    </w:p>
    <w:p w14:paraId="4595CBC2" w14:textId="77777777" w:rsidR="00F4227B" w:rsidRDefault="00F4227B" w:rsidP="00BD4A90">
      <w:pPr>
        <w:pStyle w:val="BodyTextIndent"/>
        <w:ind w:left="2160"/>
        <w:rPr>
          <w:szCs w:val="24"/>
        </w:rPr>
      </w:pPr>
    </w:p>
    <w:p w14:paraId="26FB4673" w14:textId="40CDB8EC" w:rsidR="008A3FEB" w:rsidRDefault="008A3FEB" w:rsidP="00BD4A90">
      <w:pPr>
        <w:pStyle w:val="BodyTextIndent"/>
        <w:ind w:left="2160"/>
        <w:rPr>
          <w:szCs w:val="24"/>
        </w:rPr>
      </w:pPr>
      <w:r>
        <w:rPr>
          <w:szCs w:val="24"/>
        </w:rPr>
        <w:t>4.1.</w:t>
      </w:r>
      <w:r w:rsidR="00F4227B">
        <w:rPr>
          <w:szCs w:val="24"/>
        </w:rPr>
        <w:t>7</w:t>
      </w:r>
      <w:r>
        <w:rPr>
          <w:szCs w:val="24"/>
        </w:rPr>
        <w:tab/>
      </w:r>
      <w:r w:rsidR="003C7AB3">
        <w:rPr>
          <w:szCs w:val="24"/>
        </w:rPr>
        <w:t>Once certified</w:t>
      </w:r>
      <w:r>
        <w:rPr>
          <w:szCs w:val="24"/>
        </w:rPr>
        <w:t>, a Faller must successfully complete a Wildland Fire Chain</w:t>
      </w:r>
      <w:r w:rsidR="00642185">
        <w:rPr>
          <w:szCs w:val="24"/>
        </w:rPr>
        <w:t xml:space="preserve"> S</w:t>
      </w:r>
      <w:r>
        <w:rPr>
          <w:szCs w:val="24"/>
        </w:rPr>
        <w:t>aws Annual Refresher (RT-212) every 2 years to maintain currency</w:t>
      </w:r>
    </w:p>
    <w:p w14:paraId="270ACAED" w14:textId="7BCAF72C" w:rsidR="009C77F0" w:rsidRDefault="009C77F0" w:rsidP="00BD4A90">
      <w:pPr>
        <w:pStyle w:val="BodyTextIndent"/>
        <w:rPr>
          <w:szCs w:val="24"/>
        </w:rPr>
      </w:pPr>
      <w:r>
        <w:rPr>
          <w:szCs w:val="24"/>
        </w:rPr>
        <w:tab/>
      </w:r>
    </w:p>
    <w:p w14:paraId="34795BCE" w14:textId="669E5881" w:rsidR="009C77F0" w:rsidRDefault="009C77F0" w:rsidP="00BD4A90">
      <w:pPr>
        <w:pStyle w:val="BodyTextIndent"/>
        <w:ind w:left="1440"/>
        <w:rPr>
          <w:szCs w:val="24"/>
        </w:rPr>
      </w:pPr>
      <w:r>
        <w:rPr>
          <w:szCs w:val="24"/>
        </w:rPr>
        <w:t>4.2</w:t>
      </w:r>
      <w:r>
        <w:rPr>
          <w:szCs w:val="24"/>
        </w:rPr>
        <w:tab/>
        <w:t xml:space="preserve">Any Texas A&amp;M Forest Service personnel that operate a chainsaw outside of Emergency Response operations </w:t>
      </w:r>
      <w:r w:rsidR="003C7AB3">
        <w:rPr>
          <w:szCs w:val="24"/>
        </w:rPr>
        <w:t xml:space="preserve">and are not required to hold a NWCG Faller qualification </w:t>
      </w:r>
      <w:r>
        <w:rPr>
          <w:szCs w:val="24"/>
        </w:rPr>
        <w:t xml:space="preserve">must follow </w:t>
      </w:r>
      <w:r w:rsidR="00E661B2">
        <w:rPr>
          <w:szCs w:val="24"/>
        </w:rPr>
        <w:t>the following standards and requirements:</w:t>
      </w:r>
    </w:p>
    <w:p w14:paraId="5BD78A82" w14:textId="79F625E4" w:rsidR="00E661B2" w:rsidRDefault="00E661B2" w:rsidP="00BD4A90">
      <w:pPr>
        <w:pStyle w:val="BodyTextIndent"/>
        <w:ind w:left="1440"/>
        <w:rPr>
          <w:szCs w:val="24"/>
        </w:rPr>
      </w:pPr>
      <w:r>
        <w:rPr>
          <w:szCs w:val="24"/>
        </w:rPr>
        <w:tab/>
      </w:r>
    </w:p>
    <w:p w14:paraId="73188F24" w14:textId="157F0049" w:rsidR="00E661B2" w:rsidRDefault="00E661B2" w:rsidP="00BD4A90">
      <w:pPr>
        <w:pStyle w:val="BodyTextIndent"/>
        <w:ind w:left="2160"/>
        <w:rPr>
          <w:szCs w:val="24"/>
        </w:rPr>
      </w:pPr>
      <w:r>
        <w:rPr>
          <w:szCs w:val="24"/>
        </w:rPr>
        <w:t>4.2.1</w:t>
      </w:r>
      <w:r>
        <w:rPr>
          <w:szCs w:val="24"/>
        </w:rPr>
        <w:tab/>
        <w:t>Successful completion of NWCG S-212, Wildland Fire Chain</w:t>
      </w:r>
      <w:r w:rsidR="00642185">
        <w:rPr>
          <w:szCs w:val="24"/>
        </w:rPr>
        <w:t xml:space="preserve"> S</w:t>
      </w:r>
      <w:r>
        <w:rPr>
          <w:szCs w:val="24"/>
        </w:rPr>
        <w:t>aws training</w:t>
      </w:r>
    </w:p>
    <w:p w14:paraId="5B56C8FE" w14:textId="2B69AE36" w:rsidR="00E661B2" w:rsidRDefault="00E661B2" w:rsidP="00BD4A90">
      <w:pPr>
        <w:pStyle w:val="BodyTextIndent"/>
        <w:ind w:left="2160"/>
        <w:rPr>
          <w:szCs w:val="24"/>
        </w:rPr>
      </w:pPr>
    </w:p>
    <w:p w14:paraId="104D23B7" w14:textId="6F4D7AB7" w:rsidR="00E661B2" w:rsidRDefault="00E661B2" w:rsidP="00BD4A90">
      <w:pPr>
        <w:pStyle w:val="BodyTextIndent"/>
        <w:ind w:left="2160"/>
        <w:rPr>
          <w:szCs w:val="24"/>
        </w:rPr>
      </w:pPr>
      <w:r>
        <w:rPr>
          <w:szCs w:val="24"/>
        </w:rPr>
        <w:t>4.2.2</w:t>
      </w:r>
      <w:r>
        <w:rPr>
          <w:szCs w:val="24"/>
        </w:rPr>
        <w:tab/>
      </w:r>
      <w:r w:rsidR="0087405E">
        <w:rPr>
          <w:szCs w:val="24"/>
        </w:rPr>
        <w:t xml:space="preserve">Approval of the </w:t>
      </w:r>
      <w:hyperlink r:id="rId11" w:history="1">
        <w:r w:rsidR="00CD581C" w:rsidRPr="008E054D">
          <w:rPr>
            <w:rStyle w:val="Hyperlink"/>
            <w:szCs w:val="24"/>
          </w:rPr>
          <w:t>General-Purpose</w:t>
        </w:r>
        <w:r w:rsidR="0087405E" w:rsidRPr="008E054D">
          <w:rPr>
            <w:rStyle w:val="Hyperlink"/>
            <w:szCs w:val="24"/>
          </w:rPr>
          <w:t xml:space="preserve"> Chainsaw Operator Request Form</w:t>
        </w:r>
      </w:hyperlink>
    </w:p>
    <w:p w14:paraId="2D2C52DA" w14:textId="18734A8B" w:rsidR="00CD581C" w:rsidRDefault="00CD581C" w:rsidP="00BD4A90">
      <w:pPr>
        <w:pStyle w:val="BodyTextIndent"/>
        <w:ind w:left="2160"/>
        <w:rPr>
          <w:szCs w:val="24"/>
        </w:rPr>
      </w:pPr>
    </w:p>
    <w:p w14:paraId="19FF65B4" w14:textId="42C367FB" w:rsidR="00CD581C" w:rsidRDefault="00CD581C" w:rsidP="00BD4A90">
      <w:pPr>
        <w:pStyle w:val="BodyTextIndent"/>
        <w:ind w:left="2160"/>
        <w:rPr>
          <w:szCs w:val="24"/>
        </w:rPr>
      </w:pPr>
      <w:r>
        <w:rPr>
          <w:szCs w:val="24"/>
        </w:rPr>
        <w:t>4.2.3</w:t>
      </w:r>
      <w:r>
        <w:rPr>
          <w:szCs w:val="24"/>
        </w:rPr>
        <w:tab/>
        <w:t xml:space="preserve">A General-Purpose Chainsaw Operator must always operate </w:t>
      </w:r>
      <w:r w:rsidR="008A3FEB">
        <w:rPr>
          <w:szCs w:val="24"/>
        </w:rPr>
        <w:t xml:space="preserve">a chainsaw </w:t>
      </w:r>
      <w:r>
        <w:rPr>
          <w:szCs w:val="24"/>
        </w:rPr>
        <w:t>under the supervision of a fully qualified Basic Faller (FAL3) or higher</w:t>
      </w:r>
    </w:p>
    <w:p w14:paraId="5D78CE04" w14:textId="7E8462C4" w:rsidR="002C3265" w:rsidRDefault="002C3265" w:rsidP="00BD4A90">
      <w:pPr>
        <w:pStyle w:val="BodyTextIndent"/>
        <w:ind w:left="2160"/>
        <w:rPr>
          <w:szCs w:val="24"/>
        </w:rPr>
      </w:pPr>
    </w:p>
    <w:p w14:paraId="37CDE7F3" w14:textId="4732EBB8" w:rsidR="002C3265" w:rsidRDefault="002C3265" w:rsidP="00BD4A90">
      <w:pPr>
        <w:pStyle w:val="BodyTextIndent"/>
        <w:ind w:left="2160"/>
        <w:rPr>
          <w:szCs w:val="24"/>
        </w:rPr>
      </w:pPr>
      <w:r>
        <w:rPr>
          <w:szCs w:val="24"/>
        </w:rPr>
        <w:t>4.2.4</w:t>
      </w:r>
      <w:r>
        <w:rPr>
          <w:szCs w:val="24"/>
        </w:rPr>
        <w:tab/>
        <w:t>A General-Purpose Chainsaw Operator can never operate a chainsaw on an operation that would be considered Emergency Response</w:t>
      </w:r>
    </w:p>
    <w:p w14:paraId="0789C2EC" w14:textId="4B077960" w:rsidR="002C3265" w:rsidRDefault="002C3265" w:rsidP="00BD4A90">
      <w:pPr>
        <w:pStyle w:val="BodyTextIndent"/>
        <w:ind w:left="2160"/>
        <w:rPr>
          <w:szCs w:val="24"/>
        </w:rPr>
      </w:pPr>
    </w:p>
    <w:p w14:paraId="78C84711" w14:textId="2A742242" w:rsidR="002C3265" w:rsidRDefault="002C3265" w:rsidP="00BD4A90">
      <w:pPr>
        <w:pStyle w:val="BodyTextIndent"/>
        <w:ind w:left="2160"/>
        <w:rPr>
          <w:szCs w:val="24"/>
        </w:rPr>
      </w:pPr>
      <w:r>
        <w:rPr>
          <w:szCs w:val="24"/>
        </w:rPr>
        <w:t>4.2.5</w:t>
      </w:r>
      <w:r>
        <w:rPr>
          <w:szCs w:val="24"/>
        </w:rPr>
        <w:tab/>
        <w:t>Upon certification, a General-Purpose Chainsaw Operator must successfully complete a Wildland Fire Chain</w:t>
      </w:r>
      <w:r w:rsidR="00642185">
        <w:rPr>
          <w:szCs w:val="24"/>
        </w:rPr>
        <w:t xml:space="preserve"> S</w:t>
      </w:r>
      <w:r>
        <w:rPr>
          <w:szCs w:val="24"/>
        </w:rPr>
        <w:t>aws Annual Refresher (RT-212) every 2 years to maintain currency</w:t>
      </w:r>
    </w:p>
    <w:p w14:paraId="03CF5A5F" w14:textId="44CAAB34" w:rsidR="00C151DA" w:rsidRDefault="00C151DA" w:rsidP="00BD4A90">
      <w:pPr>
        <w:pStyle w:val="BodyTextIndent"/>
        <w:ind w:left="2160"/>
        <w:rPr>
          <w:szCs w:val="24"/>
        </w:rPr>
      </w:pPr>
    </w:p>
    <w:p w14:paraId="2E16C8AD" w14:textId="523247A4" w:rsidR="00C151DA" w:rsidRDefault="00C151DA" w:rsidP="00BD4A90">
      <w:pPr>
        <w:pStyle w:val="BodyTextIndent"/>
        <w:ind w:left="2160"/>
        <w:rPr>
          <w:szCs w:val="24"/>
        </w:rPr>
      </w:pPr>
      <w:r>
        <w:rPr>
          <w:szCs w:val="24"/>
        </w:rPr>
        <w:t>4.2.6</w:t>
      </w:r>
      <w:r>
        <w:rPr>
          <w:szCs w:val="24"/>
        </w:rPr>
        <w:tab/>
        <w:t>If someone that holds the General-Purpose Chainsaw Operator qualification wishes to become an NWCG Basic Faller (FAL3), they must meet all prerequisite requirements (FFT2 qualified) and then have a FAL3 Position Task Book initiated by their appropriate Department Head.  Upon completion and certification of that PTB, the General-Purpose Chainsaw Operator qualification will be replaced by Basic Faller (FAL3)</w:t>
      </w:r>
    </w:p>
    <w:p w14:paraId="46B3497D" w14:textId="7AF27AC6" w:rsidR="009A34BC" w:rsidRDefault="009A34BC" w:rsidP="00BD4A90">
      <w:pPr>
        <w:pStyle w:val="BodyTextIndent"/>
        <w:ind w:left="2160"/>
        <w:rPr>
          <w:szCs w:val="24"/>
        </w:rPr>
      </w:pPr>
    </w:p>
    <w:p w14:paraId="435CF537" w14:textId="3BDE2B9C" w:rsidR="009A34BC" w:rsidRDefault="009A34BC" w:rsidP="00BD4A90">
      <w:pPr>
        <w:pStyle w:val="BodyTextIndent"/>
        <w:ind w:left="2160"/>
        <w:rPr>
          <w:szCs w:val="24"/>
        </w:rPr>
      </w:pPr>
      <w:r>
        <w:rPr>
          <w:szCs w:val="24"/>
        </w:rPr>
        <w:t>4.2.7</w:t>
      </w:r>
      <w:r>
        <w:rPr>
          <w:szCs w:val="24"/>
        </w:rPr>
        <w:tab/>
        <w:t>Employees in the Field Operations D</w:t>
      </w:r>
      <w:r w:rsidR="00424AAD">
        <w:rPr>
          <w:szCs w:val="24"/>
        </w:rPr>
        <w:t>ivision</w:t>
      </w:r>
      <w:r>
        <w:rPr>
          <w:szCs w:val="24"/>
        </w:rPr>
        <w:t xml:space="preserve"> are not eligible to hold the General-Purpose Chainsaw Operator qualification</w:t>
      </w:r>
    </w:p>
    <w:p w14:paraId="32A261CA" w14:textId="77777777" w:rsidR="00B40247" w:rsidRDefault="00B40247" w:rsidP="00BD4A90">
      <w:pPr>
        <w:pStyle w:val="BodyTextIndent"/>
        <w:ind w:left="0" w:firstLine="0"/>
        <w:rPr>
          <w:szCs w:val="24"/>
        </w:rPr>
      </w:pPr>
    </w:p>
    <w:p w14:paraId="59A7EA5D" w14:textId="545D240F" w:rsidR="00F4227B" w:rsidRDefault="00F4227B" w:rsidP="00BD4A90">
      <w:pPr>
        <w:pStyle w:val="BodyTextIndent"/>
        <w:rPr>
          <w:szCs w:val="24"/>
        </w:rPr>
      </w:pPr>
      <w:r>
        <w:rPr>
          <w:szCs w:val="24"/>
        </w:rPr>
        <w:t>5.</w:t>
      </w:r>
      <w:r>
        <w:rPr>
          <w:szCs w:val="24"/>
        </w:rPr>
        <w:tab/>
        <w:t>SAFETY</w:t>
      </w:r>
    </w:p>
    <w:p w14:paraId="52339DFA" w14:textId="3B7D686C" w:rsidR="00F4227B" w:rsidRDefault="00F4227B" w:rsidP="00BD4A90">
      <w:pPr>
        <w:pStyle w:val="BodyTextIndent"/>
        <w:rPr>
          <w:szCs w:val="24"/>
        </w:rPr>
      </w:pPr>
      <w:r>
        <w:rPr>
          <w:szCs w:val="24"/>
        </w:rPr>
        <w:tab/>
      </w:r>
    </w:p>
    <w:p w14:paraId="551BCDB3" w14:textId="697D5AF9" w:rsidR="00F4227B" w:rsidRDefault="00F4227B" w:rsidP="00BD4A90">
      <w:pPr>
        <w:pStyle w:val="BodyTextIndent"/>
        <w:ind w:left="1440"/>
        <w:rPr>
          <w:szCs w:val="24"/>
        </w:rPr>
      </w:pPr>
      <w:r>
        <w:rPr>
          <w:szCs w:val="24"/>
        </w:rPr>
        <w:t>5.1</w:t>
      </w:r>
      <w:r>
        <w:rPr>
          <w:szCs w:val="24"/>
        </w:rPr>
        <w:tab/>
      </w:r>
      <w:r w:rsidR="009C4E3C">
        <w:rPr>
          <w:szCs w:val="24"/>
        </w:rPr>
        <w:t>The following safety procedures are required for all chainsaw operators.  This includes NWCG trainee and qualified Fallers as well as General-Purpose Chainsaw Operators.</w:t>
      </w:r>
    </w:p>
    <w:p w14:paraId="0917F819" w14:textId="7795914C" w:rsidR="009C4E3C" w:rsidRDefault="009C4E3C" w:rsidP="00BD4A90">
      <w:pPr>
        <w:pStyle w:val="BodyTextIndent"/>
        <w:ind w:left="1440"/>
        <w:rPr>
          <w:szCs w:val="24"/>
        </w:rPr>
      </w:pPr>
    </w:p>
    <w:p w14:paraId="3FF415FB" w14:textId="4E6E0837" w:rsidR="009C4E3C" w:rsidRDefault="009C4E3C" w:rsidP="00BD4A90">
      <w:pPr>
        <w:pStyle w:val="BodyTextIndent"/>
        <w:ind w:left="2160"/>
        <w:rPr>
          <w:szCs w:val="24"/>
        </w:rPr>
      </w:pPr>
      <w:r>
        <w:rPr>
          <w:szCs w:val="24"/>
        </w:rPr>
        <w:t>5.1.1</w:t>
      </w:r>
      <w:r>
        <w:rPr>
          <w:szCs w:val="24"/>
        </w:rPr>
        <w:tab/>
        <w:t xml:space="preserve">Proper PPE must be worn at all times by Fallers, General-Purpose Chainsaw Operators, and Swampers.  </w:t>
      </w:r>
      <w:r w:rsidR="009444B2">
        <w:rPr>
          <w:szCs w:val="24"/>
        </w:rPr>
        <w:t>Below is a breakdown of specific PPE to be worn on both non-fire and fire chainsaw operations:</w:t>
      </w:r>
    </w:p>
    <w:p w14:paraId="5B450138" w14:textId="526AE633" w:rsidR="009A34BC" w:rsidRDefault="009A34BC" w:rsidP="00BD4A90">
      <w:pPr>
        <w:pStyle w:val="BodyTextIndent"/>
        <w:ind w:left="2160"/>
        <w:rPr>
          <w:szCs w:val="24"/>
        </w:rPr>
      </w:pPr>
      <w:r>
        <w:rPr>
          <w:szCs w:val="24"/>
        </w:rPr>
        <w:tab/>
      </w:r>
    </w:p>
    <w:tbl>
      <w:tblPr>
        <w:tblStyle w:val="TableGrid"/>
        <w:tblW w:w="0" w:type="auto"/>
        <w:tblInd w:w="2160" w:type="dxa"/>
        <w:tblLook w:val="04A0" w:firstRow="1" w:lastRow="0" w:firstColumn="1" w:lastColumn="0" w:noHBand="0" w:noVBand="1"/>
      </w:tblPr>
      <w:tblGrid>
        <w:gridCol w:w="1615"/>
        <w:gridCol w:w="5575"/>
      </w:tblGrid>
      <w:tr w:rsidR="009A34BC" w14:paraId="069496EA" w14:textId="77777777" w:rsidTr="00C509CD">
        <w:tc>
          <w:tcPr>
            <w:tcW w:w="1615" w:type="dxa"/>
            <w:shd w:val="clear" w:color="auto" w:fill="D9D9D9" w:themeFill="background1" w:themeFillShade="D9"/>
          </w:tcPr>
          <w:p w14:paraId="3D6EB14B" w14:textId="6C761B3F" w:rsidR="009A34BC" w:rsidRPr="009A34BC" w:rsidRDefault="009A34BC" w:rsidP="00BD4A90">
            <w:pPr>
              <w:pStyle w:val="BodyTextIndent"/>
              <w:ind w:left="0" w:firstLine="0"/>
              <w:jc w:val="center"/>
              <w:rPr>
                <w:b/>
                <w:sz w:val="20"/>
              </w:rPr>
            </w:pPr>
            <w:r w:rsidRPr="009A34BC">
              <w:rPr>
                <w:b/>
                <w:sz w:val="20"/>
              </w:rPr>
              <w:t>PPE</w:t>
            </w:r>
          </w:p>
        </w:tc>
        <w:tc>
          <w:tcPr>
            <w:tcW w:w="5575" w:type="dxa"/>
            <w:shd w:val="clear" w:color="auto" w:fill="D9D9D9" w:themeFill="background1" w:themeFillShade="D9"/>
          </w:tcPr>
          <w:p w14:paraId="5A944E81" w14:textId="3DE86DEE" w:rsidR="009A34BC" w:rsidRPr="009A34BC" w:rsidRDefault="009A34BC" w:rsidP="00BD4A90">
            <w:pPr>
              <w:pStyle w:val="BodyTextIndent"/>
              <w:ind w:left="0" w:firstLine="0"/>
              <w:jc w:val="center"/>
              <w:rPr>
                <w:b/>
                <w:sz w:val="20"/>
              </w:rPr>
            </w:pPr>
            <w:r w:rsidRPr="009A34BC">
              <w:rPr>
                <w:b/>
                <w:sz w:val="20"/>
              </w:rPr>
              <w:t>Non-Fire Chainsaw Operations</w:t>
            </w:r>
          </w:p>
        </w:tc>
      </w:tr>
      <w:tr w:rsidR="009A34BC" w14:paraId="708C9463" w14:textId="77777777" w:rsidTr="00370CA1">
        <w:tc>
          <w:tcPr>
            <w:tcW w:w="1615" w:type="dxa"/>
          </w:tcPr>
          <w:p w14:paraId="0D6E3FA4" w14:textId="380BCEE7" w:rsidR="009A34BC" w:rsidRPr="00370CA1" w:rsidRDefault="009A34BC" w:rsidP="00BD4A90">
            <w:pPr>
              <w:pStyle w:val="BodyTextIndent"/>
              <w:ind w:left="0" w:firstLine="0"/>
              <w:rPr>
                <w:b/>
                <w:sz w:val="20"/>
              </w:rPr>
            </w:pPr>
            <w:r w:rsidRPr="00370CA1">
              <w:rPr>
                <w:b/>
                <w:sz w:val="20"/>
              </w:rPr>
              <w:t>Hard Hat</w:t>
            </w:r>
          </w:p>
        </w:tc>
        <w:tc>
          <w:tcPr>
            <w:tcW w:w="5575" w:type="dxa"/>
          </w:tcPr>
          <w:p w14:paraId="598C25A2" w14:textId="21ED587A" w:rsidR="009A34BC" w:rsidRPr="009A34BC" w:rsidRDefault="009A34BC" w:rsidP="00BD4A90">
            <w:pPr>
              <w:pStyle w:val="BodyTextIndent"/>
              <w:ind w:left="0" w:firstLine="0"/>
              <w:rPr>
                <w:sz w:val="20"/>
              </w:rPr>
            </w:pPr>
            <w:r>
              <w:rPr>
                <w:sz w:val="20"/>
              </w:rPr>
              <w:t>Hard hat or cutting helmet meeting ANSI Z89.1</w:t>
            </w:r>
          </w:p>
        </w:tc>
      </w:tr>
      <w:tr w:rsidR="009A34BC" w14:paraId="50C27648" w14:textId="77777777" w:rsidTr="00370CA1">
        <w:tc>
          <w:tcPr>
            <w:tcW w:w="1615" w:type="dxa"/>
          </w:tcPr>
          <w:p w14:paraId="51759450" w14:textId="13579340" w:rsidR="009A34BC" w:rsidRPr="00370CA1" w:rsidRDefault="009A34BC" w:rsidP="00BD4A90">
            <w:pPr>
              <w:pStyle w:val="BodyTextIndent"/>
              <w:ind w:left="0" w:firstLine="0"/>
              <w:rPr>
                <w:b/>
                <w:sz w:val="20"/>
              </w:rPr>
            </w:pPr>
            <w:r w:rsidRPr="00370CA1">
              <w:rPr>
                <w:b/>
                <w:sz w:val="20"/>
              </w:rPr>
              <w:t>Safety Glasses</w:t>
            </w:r>
          </w:p>
        </w:tc>
        <w:tc>
          <w:tcPr>
            <w:tcW w:w="5575" w:type="dxa"/>
          </w:tcPr>
          <w:p w14:paraId="26C78EEA" w14:textId="648EAD38" w:rsidR="009A34BC" w:rsidRPr="009A34BC" w:rsidRDefault="009A34BC" w:rsidP="00BD4A90">
            <w:pPr>
              <w:pStyle w:val="BodyTextIndent"/>
              <w:ind w:left="0" w:firstLine="0"/>
              <w:rPr>
                <w:sz w:val="20"/>
              </w:rPr>
            </w:pPr>
            <w:r>
              <w:rPr>
                <w:sz w:val="20"/>
              </w:rPr>
              <w:t>ANSI Z87.1 (clear safety glasses, at a minimum) or equivalent (mesh “bug-eye” type or mesh face shield type) (OSHA 1910.266(d) (1) (B) Note)</w:t>
            </w:r>
          </w:p>
        </w:tc>
      </w:tr>
      <w:tr w:rsidR="009A34BC" w14:paraId="32626319" w14:textId="77777777" w:rsidTr="00370CA1">
        <w:tc>
          <w:tcPr>
            <w:tcW w:w="1615" w:type="dxa"/>
          </w:tcPr>
          <w:p w14:paraId="5C258051" w14:textId="5FBF078C" w:rsidR="009A34BC" w:rsidRPr="00370CA1" w:rsidRDefault="009A34BC" w:rsidP="00BD4A90">
            <w:pPr>
              <w:pStyle w:val="BodyTextIndent"/>
              <w:ind w:left="0" w:firstLine="0"/>
              <w:rPr>
                <w:b/>
                <w:sz w:val="20"/>
              </w:rPr>
            </w:pPr>
            <w:r w:rsidRPr="00370CA1">
              <w:rPr>
                <w:b/>
                <w:sz w:val="20"/>
              </w:rPr>
              <w:t>Hearing Protection</w:t>
            </w:r>
          </w:p>
        </w:tc>
        <w:tc>
          <w:tcPr>
            <w:tcW w:w="5575" w:type="dxa"/>
          </w:tcPr>
          <w:p w14:paraId="25B88210" w14:textId="0955D5D8" w:rsidR="009A34BC" w:rsidRPr="009A34BC" w:rsidRDefault="009A34BC" w:rsidP="00BD4A90">
            <w:pPr>
              <w:pStyle w:val="BodyTextIndent"/>
              <w:ind w:left="0" w:firstLine="0"/>
              <w:rPr>
                <w:sz w:val="20"/>
              </w:rPr>
            </w:pPr>
            <w:r>
              <w:rPr>
                <w:sz w:val="20"/>
              </w:rPr>
              <w:t>Hearing protection required for gasoline powered chainsaw use</w:t>
            </w:r>
          </w:p>
        </w:tc>
      </w:tr>
      <w:tr w:rsidR="009A34BC" w14:paraId="790EC6D3" w14:textId="77777777" w:rsidTr="00370CA1">
        <w:tc>
          <w:tcPr>
            <w:tcW w:w="1615" w:type="dxa"/>
          </w:tcPr>
          <w:p w14:paraId="03809445" w14:textId="47973A0A" w:rsidR="009A34BC" w:rsidRPr="00370CA1" w:rsidRDefault="009A34BC" w:rsidP="00BD4A90">
            <w:pPr>
              <w:pStyle w:val="BodyTextIndent"/>
              <w:ind w:left="0" w:firstLine="0"/>
              <w:rPr>
                <w:b/>
                <w:sz w:val="20"/>
              </w:rPr>
            </w:pPr>
            <w:r w:rsidRPr="00370CA1">
              <w:rPr>
                <w:b/>
                <w:sz w:val="20"/>
              </w:rPr>
              <w:t>Gloves</w:t>
            </w:r>
          </w:p>
        </w:tc>
        <w:tc>
          <w:tcPr>
            <w:tcW w:w="5575" w:type="dxa"/>
          </w:tcPr>
          <w:p w14:paraId="76C4DAE7" w14:textId="5F715BB0" w:rsidR="009A34BC" w:rsidRPr="009A34BC" w:rsidRDefault="009A34BC" w:rsidP="00BD4A90">
            <w:pPr>
              <w:pStyle w:val="BodyTextIndent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Gloves or chain saw mitts are required for all chainsaw operations. Leather required for sharpening. </w:t>
            </w:r>
            <w:r w:rsidR="00744B8C">
              <w:rPr>
                <w:sz w:val="20"/>
              </w:rPr>
              <w:t>A</w:t>
            </w:r>
            <w:r>
              <w:rPr>
                <w:sz w:val="20"/>
              </w:rPr>
              <w:t>lternative style of gloves may be used for inclement weather conditions, based on a Job Hazard Analysis (JHA)</w:t>
            </w:r>
          </w:p>
        </w:tc>
      </w:tr>
      <w:tr w:rsidR="009A34BC" w14:paraId="18EEF4D4" w14:textId="77777777" w:rsidTr="00370CA1">
        <w:tc>
          <w:tcPr>
            <w:tcW w:w="1615" w:type="dxa"/>
          </w:tcPr>
          <w:p w14:paraId="46EE970B" w14:textId="7D574ED4" w:rsidR="009A34BC" w:rsidRPr="00370CA1" w:rsidRDefault="009A34BC" w:rsidP="00BD4A90">
            <w:pPr>
              <w:pStyle w:val="BodyTextIndent"/>
              <w:ind w:left="0" w:firstLine="0"/>
              <w:rPr>
                <w:b/>
                <w:sz w:val="20"/>
              </w:rPr>
            </w:pPr>
            <w:r w:rsidRPr="00370CA1">
              <w:rPr>
                <w:b/>
                <w:sz w:val="20"/>
              </w:rPr>
              <w:t>Shirt, Pants</w:t>
            </w:r>
          </w:p>
        </w:tc>
        <w:tc>
          <w:tcPr>
            <w:tcW w:w="5575" w:type="dxa"/>
          </w:tcPr>
          <w:p w14:paraId="4A256DB7" w14:textId="3B1CBE35" w:rsidR="009A34BC" w:rsidRPr="009A34BC" w:rsidRDefault="00744B8C" w:rsidP="00BD4A90">
            <w:pPr>
              <w:pStyle w:val="BodyTextIndent"/>
              <w:ind w:left="0" w:firstLine="0"/>
              <w:rPr>
                <w:sz w:val="20"/>
              </w:rPr>
            </w:pPr>
            <w:r>
              <w:rPr>
                <w:sz w:val="20"/>
              </w:rPr>
              <w:t>Long sleeved shirt and long pants. Short sleeved shirts may be used based on a JHA</w:t>
            </w:r>
          </w:p>
        </w:tc>
      </w:tr>
      <w:tr w:rsidR="009A34BC" w14:paraId="0C739266" w14:textId="77777777" w:rsidTr="00370CA1">
        <w:tc>
          <w:tcPr>
            <w:tcW w:w="1615" w:type="dxa"/>
          </w:tcPr>
          <w:p w14:paraId="22331959" w14:textId="09CABB0B" w:rsidR="009A34BC" w:rsidRPr="00370CA1" w:rsidRDefault="009A34BC" w:rsidP="00BD4A90">
            <w:pPr>
              <w:pStyle w:val="BodyTextIndent"/>
              <w:ind w:left="0" w:firstLine="0"/>
              <w:rPr>
                <w:b/>
                <w:sz w:val="20"/>
              </w:rPr>
            </w:pPr>
            <w:r w:rsidRPr="00370CA1">
              <w:rPr>
                <w:b/>
                <w:sz w:val="20"/>
              </w:rPr>
              <w:t>Leg Protection</w:t>
            </w:r>
          </w:p>
        </w:tc>
        <w:tc>
          <w:tcPr>
            <w:tcW w:w="5575" w:type="dxa"/>
          </w:tcPr>
          <w:p w14:paraId="1D6024E1" w14:textId="34CD7A54" w:rsidR="009A34BC" w:rsidRPr="009A34BC" w:rsidRDefault="00744B8C" w:rsidP="00BD4A90">
            <w:pPr>
              <w:pStyle w:val="BodyTextIndent"/>
              <w:ind w:left="0" w:firstLine="0"/>
              <w:rPr>
                <w:sz w:val="20"/>
              </w:rPr>
            </w:pPr>
            <w:r>
              <w:rPr>
                <w:sz w:val="20"/>
              </w:rPr>
              <w:t>Chaps or cut-resistant pants for chainsaw use shall meet the requirements of Forest Service 6170-4 or ASTM F-1897 (current version). Chaps shall overlap boots at least 2”</w:t>
            </w:r>
          </w:p>
        </w:tc>
      </w:tr>
      <w:tr w:rsidR="009A34BC" w14:paraId="0A76E396" w14:textId="77777777" w:rsidTr="00370CA1">
        <w:tc>
          <w:tcPr>
            <w:tcW w:w="1615" w:type="dxa"/>
          </w:tcPr>
          <w:p w14:paraId="48C4118B" w14:textId="47AF6992" w:rsidR="009A34BC" w:rsidRPr="00370CA1" w:rsidRDefault="009A34BC" w:rsidP="00BD4A90">
            <w:pPr>
              <w:pStyle w:val="BodyTextIndent"/>
              <w:ind w:left="0" w:firstLine="0"/>
              <w:rPr>
                <w:b/>
                <w:sz w:val="20"/>
              </w:rPr>
            </w:pPr>
            <w:r w:rsidRPr="00370CA1">
              <w:rPr>
                <w:b/>
                <w:sz w:val="20"/>
              </w:rPr>
              <w:t>Boots</w:t>
            </w:r>
          </w:p>
        </w:tc>
        <w:tc>
          <w:tcPr>
            <w:tcW w:w="5575" w:type="dxa"/>
          </w:tcPr>
          <w:p w14:paraId="24E1EE12" w14:textId="6CBAA007" w:rsidR="009A34BC" w:rsidRPr="009A34BC" w:rsidRDefault="00744B8C" w:rsidP="00BD4A90">
            <w:pPr>
              <w:pStyle w:val="BodyTextIndent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Cut-resistant </w:t>
            </w:r>
            <w:r w:rsidR="00D54338">
              <w:rPr>
                <w:sz w:val="20"/>
              </w:rPr>
              <w:t>or leather, laced 8-inch (204mm) high boots that provide ankle support and nonskid soles (hard toes are optional). OPTIONAL – Use JHA to determine proper footwear for the environment and/or related tasks</w:t>
            </w:r>
          </w:p>
        </w:tc>
      </w:tr>
      <w:tr w:rsidR="009A34BC" w14:paraId="3ACA4C29" w14:textId="77777777" w:rsidTr="00370CA1">
        <w:tc>
          <w:tcPr>
            <w:tcW w:w="1615" w:type="dxa"/>
          </w:tcPr>
          <w:p w14:paraId="0E05AA11" w14:textId="7C3A956C" w:rsidR="009A34BC" w:rsidRPr="00370CA1" w:rsidRDefault="009A34BC" w:rsidP="00BD4A90">
            <w:pPr>
              <w:pStyle w:val="BodyTextIndent"/>
              <w:ind w:left="0" w:firstLine="0"/>
              <w:rPr>
                <w:b/>
                <w:sz w:val="20"/>
              </w:rPr>
            </w:pPr>
            <w:r w:rsidRPr="00370CA1">
              <w:rPr>
                <w:b/>
                <w:sz w:val="20"/>
              </w:rPr>
              <w:t>Specialized PPE</w:t>
            </w:r>
          </w:p>
        </w:tc>
        <w:tc>
          <w:tcPr>
            <w:tcW w:w="5575" w:type="dxa"/>
          </w:tcPr>
          <w:p w14:paraId="0A5A06FA" w14:textId="19904EB6" w:rsidR="009A34BC" w:rsidRPr="009A34BC" w:rsidRDefault="00D54338" w:rsidP="00BD4A90">
            <w:pPr>
              <w:pStyle w:val="BodyTextIndent"/>
              <w:ind w:left="0" w:firstLine="0"/>
              <w:rPr>
                <w:sz w:val="20"/>
              </w:rPr>
            </w:pPr>
            <w:r>
              <w:rPr>
                <w:sz w:val="20"/>
              </w:rPr>
              <w:t>Wear additional PPE as identified by local conditions, safety data sheets (SDS), or JHA/Risk Assessment (RA)</w:t>
            </w:r>
          </w:p>
        </w:tc>
      </w:tr>
    </w:tbl>
    <w:p w14:paraId="41709F63" w14:textId="6E3E110D" w:rsidR="009A34BC" w:rsidRDefault="009A34BC" w:rsidP="00BD4A90">
      <w:pPr>
        <w:pStyle w:val="BodyTextIndent"/>
        <w:ind w:left="2160"/>
        <w:rPr>
          <w:szCs w:val="24"/>
        </w:rPr>
      </w:pPr>
    </w:p>
    <w:p w14:paraId="78940735" w14:textId="77777777" w:rsidR="009444B2" w:rsidRDefault="009444B2" w:rsidP="00BD4A90">
      <w:pPr>
        <w:pStyle w:val="BodyTextIndent"/>
        <w:ind w:left="2160"/>
        <w:rPr>
          <w:szCs w:val="24"/>
        </w:rPr>
      </w:pPr>
      <w:r>
        <w:rPr>
          <w:szCs w:val="24"/>
        </w:rPr>
        <w:tab/>
      </w:r>
    </w:p>
    <w:tbl>
      <w:tblPr>
        <w:tblStyle w:val="TableGrid"/>
        <w:tblW w:w="0" w:type="auto"/>
        <w:tblInd w:w="2160" w:type="dxa"/>
        <w:tblLook w:val="04A0" w:firstRow="1" w:lastRow="0" w:firstColumn="1" w:lastColumn="0" w:noHBand="0" w:noVBand="1"/>
      </w:tblPr>
      <w:tblGrid>
        <w:gridCol w:w="1615"/>
        <w:gridCol w:w="5575"/>
      </w:tblGrid>
      <w:tr w:rsidR="009444B2" w14:paraId="14F6C9D1" w14:textId="77777777" w:rsidTr="00C509CD">
        <w:tc>
          <w:tcPr>
            <w:tcW w:w="1615" w:type="dxa"/>
            <w:shd w:val="clear" w:color="auto" w:fill="D9D9D9" w:themeFill="background1" w:themeFillShade="D9"/>
          </w:tcPr>
          <w:p w14:paraId="61E57B08" w14:textId="77777777" w:rsidR="009444B2" w:rsidRPr="009A34BC" w:rsidRDefault="009444B2" w:rsidP="00BD4A90">
            <w:pPr>
              <w:pStyle w:val="BodyTextIndent"/>
              <w:ind w:left="0" w:firstLine="0"/>
              <w:jc w:val="center"/>
              <w:rPr>
                <w:b/>
                <w:sz w:val="20"/>
              </w:rPr>
            </w:pPr>
            <w:r w:rsidRPr="009A34BC">
              <w:rPr>
                <w:b/>
                <w:sz w:val="20"/>
              </w:rPr>
              <w:t>PPE</w:t>
            </w:r>
          </w:p>
        </w:tc>
        <w:tc>
          <w:tcPr>
            <w:tcW w:w="5575" w:type="dxa"/>
            <w:shd w:val="clear" w:color="auto" w:fill="D9D9D9" w:themeFill="background1" w:themeFillShade="D9"/>
          </w:tcPr>
          <w:p w14:paraId="3BADC8A2" w14:textId="0A5AFDE7" w:rsidR="009444B2" w:rsidRPr="009A34BC" w:rsidRDefault="009444B2" w:rsidP="00BD4A90">
            <w:pPr>
              <w:pStyle w:val="BodyTextIndent"/>
              <w:ind w:left="0" w:firstLine="0"/>
              <w:jc w:val="center"/>
              <w:rPr>
                <w:b/>
                <w:sz w:val="20"/>
              </w:rPr>
            </w:pPr>
            <w:r w:rsidRPr="009A34BC">
              <w:rPr>
                <w:b/>
                <w:sz w:val="20"/>
              </w:rPr>
              <w:t>Fire Chainsaw Operations</w:t>
            </w:r>
          </w:p>
        </w:tc>
      </w:tr>
      <w:tr w:rsidR="009444B2" w14:paraId="73252219" w14:textId="77777777" w:rsidTr="00370CA1">
        <w:tc>
          <w:tcPr>
            <w:tcW w:w="1615" w:type="dxa"/>
          </w:tcPr>
          <w:p w14:paraId="5AA91E08" w14:textId="77777777" w:rsidR="009444B2" w:rsidRPr="00370CA1" w:rsidRDefault="009444B2" w:rsidP="00BD4A90">
            <w:pPr>
              <w:pStyle w:val="BodyTextIndent"/>
              <w:ind w:left="0" w:firstLine="0"/>
              <w:rPr>
                <w:b/>
                <w:sz w:val="20"/>
              </w:rPr>
            </w:pPr>
            <w:r w:rsidRPr="00370CA1">
              <w:rPr>
                <w:b/>
                <w:sz w:val="20"/>
              </w:rPr>
              <w:t>Hard Hat</w:t>
            </w:r>
          </w:p>
        </w:tc>
        <w:tc>
          <w:tcPr>
            <w:tcW w:w="5575" w:type="dxa"/>
          </w:tcPr>
          <w:p w14:paraId="24F20135" w14:textId="7B708AF8" w:rsidR="009444B2" w:rsidRPr="009A34BC" w:rsidRDefault="009444B2" w:rsidP="00BD4A90">
            <w:pPr>
              <w:pStyle w:val="BodyTextIndent"/>
              <w:ind w:left="0" w:firstLine="0"/>
              <w:rPr>
                <w:sz w:val="20"/>
              </w:rPr>
            </w:pPr>
            <w:r>
              <w:rPr>
                <w:sz w:val="20"/>
              </w:rPr>
              <w:t>Hard hat meeting NFPA 1977</w:t>
            </w:r>
          </w:p>
        </w:tc>
      </w:tr>
      <w:tr w:rsidR="009444B2" w14:paraId="412E73AA" w14:textId="77777777" w:rsidTr="00370CA1">
        <w:tc>
          <w:tcPr>
            <w:tcW w:w="1615" w:type="dxa"/>
          </w:tcPr>
          <w:p w14:paraId="7299FCBC" w14:textId="77777777" w:rsidR="009444B2" w:rsidRPr="00370CA1" w:rsidRDefault="009444B2" w:rsidP="00BD4A90">
            <w:pPr>
              <w:pStyle w:val="BodyTextIndent"/>
              <w:ind w:left="0" w:firstLine="0"/>
              <w:rPr>
                <w:b/>
                <w:sz w:val="20"/>
              </w:rPr>
            </w:pPr>
            <w:r w:rsidRPr="00370CA1">
              <w:rPr>
                <w:b/>
                <w:sz w:val="20"/>
              </w:rPr>
              <w:t>Safety Glasses</w:t>
            </w:r>
          </w:p>
        </w:tc>
        <w:tc>
          <w:tcPr>
            <w:tcW w:w="5575" w:type="dxa"/>
          </w:tcPr>
          <w:p w14:paraId="1881A89E" w14:textId="6456222B" w:rsidR="009444B2" w:rsidRPr="009A34BC" w:rsidRDefault="009444B2" w:rsidP="00BD4A90">
            <w:pPr>
              <w:pStyle w:val="BodyTextIndent"/>
              <w:ind w:left="0" w:firstLine="0"/>
              <w:rPr>
                <w:sz w:val="20"/>
              </w:rPr>
            </w:pPr>
            <w:r>
              <w:rPr>
                <w:sz w:val="20"/>
              </w:rPr>
              <w:t>ANSI Z87.1 (clear safety glasses, at a minimum) or equivalent (mesh “bug-eye” type)</w:t>
            </w:r>
          </w:p>
        </w:tc>
      </w:tr>
      <w:tr w:rsidR="009444B2" w14:paraId="2991652D" w14:textId="77777777" w:rsidTr="00370CA1">
        <w:tc>
          <w:tcPr>
            <w:tcW w:w="1615" w:type="dxa"/>
          </w:tcPr>
          <w:p w14:paraId="2E18186D" w14:textId="77777777" w:rsidR="009444B2" w:rsidRPr="00370CA1" w:rsidRDefault="009444B2" w:rsidP="00BD4A90">
            <w:pPr>
              <w:pStyle w:val="BodyTextIndent"/>
              <w:ind w:left="0" w:firstLine="0"/>
              <w:rPr>
                <w:b/>
                <w:sz w:val="20"/>
              </w:rPr>
            </w:pPr>
            <w:r w:rsidRPr="00370CA1">
              <w:rPr>
                <w:b/>
                <w:sz w:val="20"/>
              </w:rPr>
              <w:t>Hearing Protection</w:t>
            </w:r>
          </w:p>
        </w:tc>
        <w:tc>
          <w:tcPr>
            <w:tcW w:w="5575" w:type="dxa"/>
          </w:tcPr>
          <w:p w14:paraId="6D6DD500" w14:textId="77777777" w:rsidR="009444B2" w:rsidRPr="009A34BC" w:rsidRDefault="009444B2" w:rsidP="00BD4A90">
            <w:pPr>
              <w:pStyle w:val="BodyTextIndent"/>
              <w:ind w:left="0" w:firstLine="0"/>
              <w:rPr>
                <w:sz w:val="20"/>
              </w:rPr>
            </w:pPr>
            <w:r>
              <w:rPr>
                <w:sz w:val="20"/>
              </w:rPr>
              <w:t>Hearing protection required for gasoline powered chainsaw use</w:t>
            </w:r>
          </w:p>
        </w:tc>
      </w:tr>
      <w:tr w:rsidR="009444B2" w14:paraId="769D5C5C" w14:textId="77777777" w:rsidTr="00370CA1">
        <w:tc>
          <w:tcPr>
            <w:tcW w:w="1615" w:type="dxa"/>
          </w:tcPr>
          <w:p w14:paraId="49E332B5" w14:textId="77777777" w:rsidR="009444B2" w:rsidRPr="00370CA1" w:rsidRDefault="009444B2" w:rsidP="00BD4A90">
            <w:pPr>
              <w:pStyle w:val="BodyTextIndent"/>
              <w:ind w:left="0" w:firstLine="0"/>
              <w:rPr>
                <w:b/>
                <w:sz w:val="20"/>
              </w:rPr>
            </w:pPr>
            <w:r w:rsidRPr="00370CA1">
              <w:rPr>
                <w:b/>
                <w:sz w:val="20"/>
              </w:rPr>
              <w:t>Gloves</w:t>
            </w:r>
          </w:p>
        </w:tc>
        <w:tc>
          <w:tcPr>
            <w:tcW w:w="5575" w:type="dxa"/>
          </w:tcPr>
          <w:p w14:paraId="2C1D2EE9" w14:textId="73E1707B" w:rsidR="009444B2" w:rsidRPr="009A34BC" w:rsidRDefault="009444B2" w:rsidP="00BD4A90">
            <w:pPr>
              <w:pStyle w:val="BodyTextIndent"/>
              <w:ind w:left="0" w:firstLine="0"/>
              <w:rPr>
                <w:sz w:val="20"/>
              </w:rPr>
            </w:pPr>
            <w:r>
              <w:rPr>
                <w:sz w:val="20"/>
              </w:rPr>
              <w:t>Leather gloves are required for all chainsaw operations and sharpening, meeting NFPA 1977</w:t>
            </w:r>
          </w:p>
        </w:tc>
      </w:tr>
      <w:tr w:rsidR="009444B2" w14:paraId="454F8E83" w14:textId="77777777" w:rsidTr="00370CA1">
        <w:tc>
          <w:tcPr>
            <w:tcW w:w="1615" w:type="dxa"/>
          </w:tcPr>
          <w:p w14:paraId="0DED2CB6" w14:textId="77777777" w:rsidR="009444B2" w:rsidRPr="00370CA1" w:rsidRDefault="009444B2" w:rsidP="00BD4A90">
            <w:pPr>
              <w:pStyle w:val="BodyTextIndent"/>
              <w:ind w:left="0" w:firstLine="0"/>
              <w:rPr>
                <w:b/>
                <w:sz w:val="20"/>
              </w:rPr>
            </w:pPr>
            <w:r w:rsidRPr="00370CA1">
              <w:rPr>
                <w:b/>
                <w:sz w:val="20"/>
              </w:rPr>
              <w:t>Shirt, Pants</w:t>
            </w:r>
          </w:p>
        </w:tc>
        <w:tc>
          <w:tcPr>
            <w:tcW w:w="5575" w:type="dxa"/>
          </w:tcPr>
          <w:p w14:paraId="5ED8FC2F" w14:textId="7D8271B7" w:rsidR="009444B2" w:rsidRPr="009A34BC" w:rsidRDefault="009444B2" w:rsidP="00BD4A90">
            <w:pPr>
              <w:pStyle w:val="BodyTextIndent"/>
              <w:ind w:left="0" w:firstLine="0"/>
              <w:rPr>
                <w:sz w:val="20"/>
              </w:rPr>
            </w:pPr>
            <w:r>
              <w:rPr>
                <w:sz w:val="20"/>
              </w:rPr>
              <w:t>Nomex® long sleeved shirt and Nomex® long pants. Nomex® meeting NFPA 1977</w:t>
            </w:r>
          </w:p>
        </w:tc>
      </w:tr>
      <w:tr w:rsidR="009444B2" w14:paraId="608F0043" w14:textId="77777777" w:rsidTr="00370CA1">
        <w:tc>
          <w:tcPr>
            <w:tcW w:w="1615" w:type="dxa"/>
          </w:tcPr>
          <w:p w14:paraId="181AFF99" w14:textId="77777777" w:rsidR="009444B2" w:rsidRPr="00370CA1" w:rsidRDefault="009444B2" w:rsidP="00BD4A90">
            <w:pPr>
              <w:pStyle w:val="BodyTextIndent"/>
              <w:ind w:left="0" w:firstLine="0"/>
              <w:rPr>
                <w:b/>
                <w:sz w:val="20"/>
              </w:rPr>
            </w:pPr>
            <w:r w:rsidRPr="00370CA1">
              <w:rPr>
                <w:b/>
                <w:sz w:val="20"/>
              </w:rPr>
              <w:t>Leg Protection</w:t>
            </w:r>
          </w:p>
        </w:tc>
        <w:tc>
          <w:tcPr>
            <w:tcW w:w="5575" w:type="dxa"/>
          </w:tcPr>
          <w:p w14:paraId="5ECC5969" w14:textId="672DB682" w:rsidR="009444B2" w:rsidRPr="009A34BC" w:rsidRDefault="009444B2" w:rsidP="00BD4A90">
            <w:pPr>
              <w:pStyle w:val="BodyTextIndent"/>
              <w:ind w:left="0" w:firstLine="0"/>
              <w:rPr>
                <w:sz w:val="20"/>
              </w:rPr>
            </w:pPr>
            <w:r>
              <w:rPr>
                <w:sz w:val="20"/>
              </w:rPr>
              <w:t>Chaps meeting the requirements of Forest Service 6170-4. Chaps shall overlap boots at least 2”</w:t>
            </w:r>
          </w:p>
        </w:tc>
      </w:tr>
      <w:tr w:rsidR="009444B2" w14:paraId="06E9AC1D" w14:textId="77777777" w:rsidTr="00370CA1">
        <w:tc>
          <w:tcPr>
            <w:tcW w:w="1615" w:type="dxa"/>
          </w:tcPr>
          <w:p w14:paraId="6909F27D" w14:textId="77777777" w:rsidR="009444B2" w:rsidRPr="00370CA1" w:rsidRDefault="009444B2" w:rsidP="00BD4A90">
            <w:pPr>
              <w:pStyle w:val="BodyTextIndent"/>
              <w:ind w:left="0" w:firstLine="0"/>
              <w:rPr>
                <w:b/>
                <w:sz w:val="20"/>
              </w:rPr>
            </w:pPr>
            <w:r w:rsidRPr="00370CA1">
              <w:rPr>
                <w:b/>
                <w:sz w:val="20"/>
              </w:rPr>
              <w:t>Boots</w:t>
            </w:r>
          </w:p>
        </w:tc>
        <w:tc>
          <w:tcPr>
            <w:tcW w:w="5575" w:type="dxa"/>
          </w:tcPr>
          <w:p w14:paraId="3DA891AF" w14:textId="48271C44" w:rsidR="009444B2" w:rsidRPr="009A34BC" w:rsidRDefault="009444B2" w:rsidP="00BD4A90">
            <w:pPr>
              <w:pStyle w:val="BodyTextIndent"/>
              <w:ind w:left="0" w:firstLine="0"/>
              <w:rPr>
                <w:sz w:val="20"/>
              </w:rPr>
            </w:pPr>
            <w:r>
              <w:rPr>
                <w:sz w:val="20"/>
              </w:rPr>
              <w:t>Leather, laced 8-inch (204mm) high boots with nonskid soles</w:t>
            </w:r>
          </w:p>
        </w:tc>
      </w:tr>
      <w:tr w:rsidR="009444B2" w14:paraId="28A5E6B9" w14:textId="77777777" w:rsidTr="00370CA1">
        <w:tc>
          <w:tcPr>
            <w:tcW w:w="1615" w:type="dxa"/>
          </w:tcPr>
          <w:p w14:paraId="4D7C773A" w14:textId="77777777" w:rsidR="009444B2" w:rsidRPr="00370CA1" w:rsidRDefault="009444B2" w:rsidP="00BD4A90">
            <w:pPr>
              <w:pStyle w:val="BodyTextIndent"/>
              <w:ind w:left="0" w:firstLine="0"/>
              <w:rPr>
                <w:b/>
                <w:sz w:val="20"/>
              </w:rPr>
            </w:pPr>
            <w:r w:rsidRPr="00370CA1">
              <w:rPr>
                <w:b/>
                <w:sz w:val="20"/>
              </w:rPr>
              <w:t>Specialized PPE</w:t>
            </w:r>
          </w:p>
        </w:tc>
        <w:tc>
          <w:tcPr>
            <w:tcW w:w="5575" w:type="dxa"/>
          </w:tcPr>
          <w:p w14:paraId="3AF6C9BB" w14:textId="77777777" w:rsidR="009444B2" w:rsidRPr="009A34BC" w:rsidRDefault="009444B2" w:rsidP="00BD4A90">
            <w:pPr>
              <w:pStyle w:val="BodyTextIndent"/>
              <w:ind w:left="0" w:firstLine="0"/>
              <w:rPr>
                <w:sz w:val="20"/>
              </w:rPr>
            </w:pPr>
            <w:r>
              <w:rPr>
                <w:sz w:val="20"/>
              </w:rPr>
              <w:t>Wear additional PPE as identified by local conditions, safety data sheets (SDS), or JHA/Risk Assessment (RA)</w:t>
            </w:r>
          </w:p>
        </w:tc>
      </w:tr>
    </w:tbl>
    <w:p w14:paraId="0DF6AF37" w14:textId="4BAC81D5" w:rsidR="009C4E3C" w:rsidRDefault="009C4E3C" w:rsidP="00BD4A90">
      <w:pPr>
        <w:pStyle w:val="BodyTextIndent"/>
        <w:ind w:left="0" w:firstLine="0"/>
        <w:rPr>
          <w:szCs w:val="24"/>
        </w:rPr>
      </w:pPr>
    </w:p>
    <w:p w14:paraId="33FDB2B4" w14:textId="6DF338CA" w:rsidR="009C4E3C" w:rsidRDefault="009C4E3C" w:rsidP="00BD4A90">
      <w:pPr>
        <w:pStyle w:val="BodyTextIndent"/>
        <w:ind w:left="2160"/>
        <w:rPr>
          <w:szCs w:val="24"/>
        </w:rPr>
      </w:pPr>
      <w:r>
        <w:rPr>
          <w:szCs w:val="24"/>
        </w:rPr>
        <w:t>5.1.2</w:t>
      </w:r>
      <w:r>
        <w:rPr>
          <w:szCs w:val="24"/>
        </w:rPr>
        <w:tab/>
      </w:r>
      <w:r w:rsidR="009E4870">
        <w:rPr>
          <w:szCs w:val="24"/>
        </w:rPr>
        <w:t>A proper first aid kit must be on site during all chainsaw operations.  The number of kits must be commensurate with the number of individuals working on the chainsaw operation.  The</w:t>
      </w:r>
      <w:r w:rsidR="00C151DA">
        <w:rPr>
          <w:szCs w:val="24"/>
        </w:rPr>
        <w:t xml:space="preserve">re must be </w:t>
      </w:r>
      <w:r w:rsidR="00A73DE3">
        <w:rPr>
          <w:szCs w:val="24"/>
        </w:rPr>
        <w:t xml:space="preserve">at least </w:t>
      </w:r>
      <w:r w:rsidR="00C151DA">
        <w:rPr>
          <w:szCs w:val="24"/>
        </w:rPr>
        <w:t>one</w:t>
      </w:r>
      <w:r w:rsidR="009E4870">
        <w:rPr>
          <w:szCs w:val="24"/>
        </w:rPr>
        <w:t xml:space="preserve"> kit </w:t>
      </w:r>
      <w:r w:rsidR="00C151DA">
        <w:rPr>
          <w:szCs w:val="24"/>
        </w:rPr>
        <w:t xml:space="preserve">for every two people and it </w:t>
      </w:r>
      <w:r w:rsidR="009E4870">
        <w:rPr>
          <w:szCs w:val="24"/>
        </w:rPr>
        <w:t xml:space="preserve">must include, at a minimum, </w:t>
      </w:r>
      <w:r w:rsidR="00E81A78">
        <w:rPr>
          <w:szCs w:val="24"/>
        </w:rPr>
        <w:t xml:space="preserve">a tourniquet, </w:t>
      </w:r>
      <w:r w:rsidR="009E4870">
        <w:rPr>
          <w:szCs w:val="24"/>
        </w:rPr>
        <w:t xml:space="preserve">gauze pads, adhesive bandages, rolled bandage, triangular bandages, wound cleaning agents, scissors, tweezers, adhesive tape, latex/nitrile gloves, elastic wraps, and directions for emergency assistance.  It is also encouraged for the following to be present on site: </w:t>
      </w:r>
      <w:r w:rsidR="00E81A78">
        <w:rPr>
          <w:szCs w:val="24"/>
        </w:rPr>
        <w:t xml:space="preserve">additional trauma/bleed stop supplies such as </w:t>
      </w:r>
      <w:r w:rsidR="00E81A78">
        <w:rPr>
          <w:szCs w:val="24"/>
        </w:rPr>
        <w:lastRenderedPageBreak/>
        <w:t>Israeli bandage, quick clot, etc.</w:t>
      </w:r>
      <w:r w:rsidR="009E4870">
        <w:rPr>
          <w:szCs w:val="24"/>
        </w:rPr>
        <w:t xml:space="preserve">, </w:t>
      </w:r>
      <w:r w:rsidR="00E81A78">
        <w:rPr>
          <w:szCs w:val="24"/>
        </w:rPr>
        <w:t xml:space="preserve">and </w:t>
      </w:r>
      <w:r w:rsidR="009E4870">
        <w:rPr>
          <w:szCs w:val="24"/>
        </w:rPr>
        <w:t>Automated External Defibrillator (AED)</w:t>
      </w:r>
      <w:r w:rsidR="00642185">
        <w:rPr>
          <w:szCs w:val="24"/>
        </w:rPr>
        <w:t>.</w:t>
      </w:r>
    </w:p>
    <w:p w14:paraId="5BC681A9" w14:textId="69692A13" w:rsidR="009E4870" w:rsidRDefault="009E4870" w:rsidP="00BD4A90">
      <w:pPr>
        <w:pStyle w:val="BodyTextIndent"/>
        <w:ind w:left="2160"/>
        <w:rPr>
          <w:szCs w:val="24"/>
        </w:rPr>
      </w:pPr>
    </w:p>
    <w:p w14:paraId="02801A82" w14:textId="26D691E6" w:rsidR="009E4870" w:rsidRDefault="009E4870" w:rsidP="00BD4A90">
      <w:pPr>
        <w:pStyle w:val="BodyTextIndent"/>
        <w:ind w:left="2160"/>
        <w:rPr>
          <w:szCs w:val="24"/>
        </w:rPr>
      </w:pPr>
      <w:r>
        <w:rPr>
          <w:szCs w:val="24"/>
        </w:rPr>
        <w:t>5.1.3</w:t>
      </w:r>
      <w:r>
        <w:rPr>
          <w:szCs w:val="24"/>
        </w:rPr>
        <w:tab/>
        <w:t>No individual can participate in any chainsaw operations by themselves.  There must be a minimum of two individuals present at all times during all chainsaw operations</w:t>
      </w:r>
      <w:r w:rsidR="00642185">
        <w:rPr>
          <w:szCs w:val="24"/>
        </w:rPr>
        <w:t>.</w:t>
      </w:r>
    </w:p>
    <w:p w14:paraId="5DB87E68" w14:textId="09D64343" w:rsidR="008571B2" w:rsidRDefault="008571B2" w:rsidP="00BD4A90">
      <w:pPr>
        <w:pStyle w:val="BodyTextIndent"/>
        <w:ind w:left="2160"/>
        <w:rPr>
          <w:szCs w:val="24"/>
        </w:rPr>
      </w:pPr>
    </w:p>
    <w:p w14:paraId="7BDF0EE5" w14:textId="10A7E96B" w:rsidR="008571B2" w:rsidRDefault="008571B2" w:rsidP="00BD4A90">
      <w:pPr>
        <w:pStyle w:val="BodyTextIndent"/>
        <w:ind w:left="2160"/>
        <w:rPr>
          <w:szCs w:val="24"/>
        </w:rPr>
      </w:pPr>
      <w:r>
        <w:rPr>
          <w:szCs w:val="24"/>
        </w:rPr>
        <w:t>5.1.4</w:t>
      </w:r>
      <w:r>
        <w:rPr>
          <w:szCs w:val="24"/>
        </w:rPr>
        <w:tab/>
      </w:r>
      <w:r w:rsidR="00473C1D">
        <w:rPr>
          <w:szCs w:val="24"/>
        </w:rPr>
        <w:t xml:space="preserve">There are specific hazards when operating chainsaws around powerline rights-of-way.  Due to the increased danger and hazards associated with these types of chainsaw operations, the procedures and requirements outlined in the </w:t>
      </w:r>
      <w:hyperlink r:id="rId12" w:history="1">
        <w:r w:rsidR="0056157B" w:rsidRPr="0056157B">
          <w:rPr>
            <w:rStyle w:val="Hyperlink"/>
            <w:szCs w:val="24"/>
          </w:rPr>
          <w:t>Chains</w:t>
        </w:r>
        <w:r w:rsidR="00473C1D" w:rsidRPr="0056157B">
          <w:rPr>
            <w:rStyle w:val="Hyperlink"/>
            <w:szCs w:val="24"/>
          </w:rPr>
          <w:t xml:space="preserve">aw Operations in </w:t>
        </w:r>
        <w:r w:rsidR="00424AAD">
          <w:rPr>
            <w:rStyle w:val="Hyperlink"/>
            <w:szCs w:val="24"/>
          </w:rPr>
          <w:t xml:space="preserve">the </w:t>
        </w:r>
        <w:r w:rsidR="00473C1D" w:rsidRPr="0056157B">
          <w:rPr>
            <w:rStyle w:val="Hyperlink"/>
            <w:szCs w:val="24"/>
          </w:rPr>
          <w:t>Powerline R</w:t>
        </w:r>
        <w:r w:rsidR="0056157B" w:rsidRPr="0056157B">
          <w:rPr>
            <w:rStyle w:val="Hyperlink"/>
            <w:szCs w:val="24"/>
          </w:rPr>
          <w:t>ight-</w:t>
        </w:r>
        <w:r w:rsidR="00473C1D" w:rsidRPr="0056157B">
          <w:rPr>
            <w:rStyle w:val="Hyperlink"/>
            <w:szCs w:val="24"/>
          </w:rPr>
          <w:t>O</w:t>
        </w:r>
        <w:r w:rsidR="0056157B" w:rsidRPr="0056157B">
          <w:rPr>
            <w:rStyle w:val="Hyperlink"/>
            <w:szCs w:val="24"/>
          </w:rPr>
          <w:t>f-</w:t>
        </w:r>
        <w:r w:rsidR="00473C1D" w:rsidRPr="0056157B">
          <w:rPr>
            <w:rStyle w:val="Hyperlink"/>
            <w:szCs w:val="24"/>
          </w:rPr>
          <w:t>W</w:t>
        </w:r>
        <w:r w:rsidR="0056157B" w:rsidRPr="0056157B">
          <w:rPr>
            <w:rStyle w:val="Hyperlink"/>
            <w:szCs w:val="24"/>
          </w:rPr>
          <w:t>ay</w:t>
        </w:r>
      </w:hyperlink>
      <w:r w:rsidR="00473C1D">
        <w:rPr>
          <w:szCs w:val="24"/>
        </w:rPr>
        <w:t xml:space="preserve"> must be followed</w:t>
      </w:r>
      <w:r w:rsidR="00642185">
        <w:rPr>
          <w:szCs w:val="24"/>
        </w:rPr>
        <w:t>.</w:t>
      </w:r>
    </w:p>
    <w:p w14:paraId="6DB4A461" w14:textId="461320D0" w:rsidR="00C509CD" w:rsidRDefault="00C509CD" w:rsidP="00BD4A90">
      <w:pPr>
        <w:pStyle w:val="BodyTextIndent"/>
        <w:ind w:left="0" w:firstLine="0"/>
        <w:rPr>
          <w:szCs w:val="24"/>
        </w:rPr>
      </w:pPr>
    </w:p>
    <w:p w14:paraId="27D7773C" w14:textId="23D41882" w:rsidR="00C509CD" w:rsidRDefault="00C509CD" w:rsidP="00BD4A90">
      <w:pPr>
        <w:pStyle w:val="BodyTextIndent"/>
        <w:rPr>
          <w:szCs w:val="24"/>
        </w:rPr>
      </w:pPr>
      <w:r>
        <w:rPr>
          <w:szCs w:val="24"/>
        </w:rPr>
        <w:t>6.</w:t>
      </w:r>
      <w:r>
        <w:rPr>
          <w:szCs w:val="24"/>
        </w:rPr>
        <w:tab/>
        <w:t>EQUIPMENT</w:t>
      </w:r>
    </w:p>
    <w:p w14:paraId="1ABCED39" w14:textId="5CE56DCF" w:rsidR="00C509CD" w:rsidRDefault="00C509CD" w:rsidP="00BD4A90">
      <w:pPr>
        <w:pStyle w:val="BodyTextIndent"/>
        <w:rPr>
          <w:szCs w:val="24"/>
        </w:rPr>
      </w:pPr>
    </w:p>
    <w:p w14:paraId="68B290B0" w14:textId="37BCB462" w:rsidR="00C509CD" w:rsidRDefault="00C509CD" w:rsidP="00BD4A90">
      <w:pPr>
        <w:pStyle w:val="BodyTextIndent"/>
        <w:ind w:left="1440"/>
        <w:rPr>
          <w:szCs w:val="24"/>
        </w:rPr>
      </w:pPr>
      <w:r>
        <w:rPr>
          <w:szCs w:val="24"/>
        </w:rPr>
        <w:t>6.1</w:t>
      </w:r>
      <w:r>
        <w:rPr>
          <w:szCs w:val="24"/>
        </w:rPr>
        <w:tab/>
        <w:t>Below is a list of recommended supplies to keep with any chainsaw to ensure crews can effectively perform the tasks assigned a</w:t>
      </w:r>
      <w:r w:rsidR="00424AAD">
        <w:rPr>
          <w:szCs w:val="24"/>
        </w:rPr>
        <w:t>s well as</w:t>
      </w:r>
      <w:r>
        <w:rPr>
          <w:szCs w:val="24"/>
        </w:rPr>
        <w:t xml:space="preserve"> basic maintenance</w:t>
      </w:r>
    </w:p>
    <w:p w14:paraId="276046F6" w14:textId="2E679C32" w:rsidR="00C509CD" w:rsidRDefault="00C509CD" w:rsidP="00BD4A90">
      <w:pPr>
        <w:pStyle w:val="BodyTextIndent"/>
        <w:ind w:left="1440"/>
        <w:rPr>
          <w:szCs w:val="24"/>
        </w:rPr>
      </w:pPr>
      <w:r>
        <w:rPr>
          <w:szCs w:val="24"/>
        </w:rPr>
        <w:tab/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6660"/>
        <w:gridCol w:w="1255"/>
      </w:tblGrid>
      <w:tr w:rsidR="00C509CD" w14:paraId="3AEE56CD" w14:textId="77777777" w:rsidTr="00A73DE3">
        <w:tc>
          <w:tcPr>
            <w:tcW w:w="6660" w:type="dxa"/>
            <w:shd w:val="clear" w:color="auto" w:fill="D9D9D9" w:themeFill="background1" w:themeFillShade="D9"/>
          </w:tcPr>
          <w:p w14:paraId="78CD168E" w14:textId="2AB896F1" w:rsidR="00C509CD" w:rsidRPr="00C509CD" w:rsidRDefault="00C509CD" w:rsidP="00BD4A90">
            <w:pPr>
              <w:pStyle w:val="BodyTextIndent"/>
              <w:ind w:left="0" w:firstLine="0"/>
              <w:rPr>
                <w:b/>
                <w:sz w:val="20"/>
              </w:rPr>
            </w:pPr>
            <w:r w:rsidRPr="00C509CD">
              <w:rPr>
                <w:b/>
                <w:sz w:val="20"/>
              </w:rPr>
              <w:t>Standard Saw Kit for Assignments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6EE74FD3" w14:textId="4567CC1F" w:rsidR="00C509CD" w:rsidRPr="00C509CD" w:rsidRDefault="00C509CD" w:rsidP="00BD4A90">
            <w:pPr>
              <w:pStyle w:val="BodyTextIndent"/>
              <w:ind w:left="0" w:firstLine="0"/>
              <w:jc w:val="center"/>
              <w:rPr>
                <w:b/>
                <w:sz w:val="20"/>
              </w:rPr>
            </w:pPr>
            <w:r w:rsidRPr="00C509CD">
              <w:rPr>
                <w:b/>
                <w:sz w:val="20"/>
              </w:rPr>
              <w:t>Quantity</w:t>
            </w:r>
          </w:p>
        </w:tc>
      </w:tr>
      <w:tr w:rsidR="00C509CD" w14:paraId="303C0427" w14:textId="77777777" w:rsidTr="00A73DE3">
        <w:tc>
          <w:tcPr>
            <w:tcW w:w="6660" w:type="dxa"/>
          </w:tcPr>
          <w:p w14:paraId="6484C7C5" w14:textId="345347B9" w:rsidR="00C509CD" w:rsidRPr="00C509CD" w:rsidRDefault="00A73DE3" w:rsidP="00BD4A90">
            <w:pPr>
              <w:pStyle w:val="BodyTextIndent"/>
              <w:ind w:left="0" w:firstLine="0"/>
              <w:rPr>
                <w:sz w:val="20"/>
              </w:rPr>
            </w:pPr>
            <w:r>
              <w:rPr>
                <w:sz w:val="20"/>
              </w:rPr>
              <w:t>5 gallons of gasoline with 2-stroke mix (for proper ratio, per saw requirements)</w:t>
            </w:r>
          </w:p>
        </w:tc>
        <w:tc>
          <w:tcPr>
            <w:tcW w:w="1255" w:type="dxa"/>
          </w:tcPr>
          <w:p w14:paraId="54F0AD7A" w14:textId="4331FA5B" w:rsidR="00C509CD" w:rsidRPr="00C509CD" w:rsidRDefault="00A73DE3" w:rsidP="00BD4A90">
            <w:pPr>
              <w:pStyle w:val="BodyTextIndent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509CD" w14:paraId="1E21C3BC" w14:textId="77777777" w:rsidTr="00A73DE3">
        <w:tc>
          <w:tcPr>
            <w:tcW w:w="6660" w:type="dxa"/>
          </w:tcPr>
          <w:p w14:paraId="0978160D" w14:textId="7ED4F634" w:rsidR="00C509CD" w:rsidRPr="00C509CD" w:rsidRDefault="00A73DE3" w:rsidP="00BD4A90">
            <w:pPr>
              <w:pStyle w:val="BodyTextIndent"/>
              <w:ind w:left="0" w:firstLine="0"/>
              <w:rPr>
                <w:sz w:val="20"/>
              </w:rPr>
            </w:pPr>
            <w:r>
              <w:rPr>
                <w:sz w:val="20"/>
              </w:rPr>
              <w:t>Portable containers for fuel and bar oil (dolmar or sig bottles)</w:t>
            </w:r>
          </w:p>
        </w:tc>
        <w:tc>
          <w:tcPr>
            <w:tcW w:w="1255" w:type="dxa"/>
          </w:tcPr>
          <w:p w14:paraId="5EF2A7F1" w14:textId="4AF628CB" w:rsidR="00C509CD" w:rsidRPr="00C509CD" w:rsidRDefault="00A73DE3" w:rsidP="00BD4A90">
            <w:pPr>
              <w:pStyle w:val="BodyTextIndent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509CD" w14:paraId="77C6F1C8" w14:textId="77777777" w:rsidTr="00A73DE3">
        <w:tc>
          <w:tcPr>
            <w:tcW w:w="6660" w:type="dxa"/>
          </w:tcPr>
          <w:p w14:paraId="105ECE74" w14:textId="0B47ECF6" w:rsidR="00C509CD" w:rsidRPr="00C509CD" w:rsidRDefault="00A73DE3" w:rsidP="00BD4A90">
            <w:pPr>
              <w:pStyle w:val="BodyTextIndent"/>
              <w:ind w:left="0" w:firstLine="0"/>
              <w:rPr>
                <w:sz w:val="20"/>
              </w:rPr>
            </w:pPr>
            <w:r>
              <w:rPr>
                <w:sz w:val="20"/>
              </w:rPr>
              <w:t>Gallon of bar oil</w:t>
            </w:r>
          </w:p>
        </w:tc>
        <w:tc>
          <w:tcPr>
            <w:tcW w:w="1255" w:type="dxa"/>
          </w:tcPr>
          <w:p w14:paraId="2022F2BD" w14:textId="615A45A6" w:rsidR="00C509CD" w:rsidRPr="00C509CD" w:rsidRDefault="00A73DE3" w:rsidP="00BD4A90">
            <w:pPr>
              <w:pStyle w:val="BodyTextIndent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509CD" w14:paraId="721328BE" w14:textId="77777777" w:rsidTr="00A73DE3">
        <w:tc>
          <w:tcPr>
            <w:tcW w:w="6660" w:type="dxa"/>
          </w:tcPr>
          <w:p w14:paraId="26367D8B" w14:textId="7F715442" w:rsidR="00C509CD" w:rsidRPr="00C509CD" w:rsidRDefault="00A73DE3" w:rsidP="00BD4A90">
            <w:pPr>
              <w:pStyle w:val="BodyTextIndent"/>
              <w:ind w:left="0" w:firstLine="0"/>
              <w:rPr>
                <w:sz w:val="20"/>
              </w:rPr>
            </w:pPr>
            <w:r>
              <w:rPr>
                <w:sz w:val="20"/>
              </w:rPr>
              <w:t>Felling axe</w:t>
            </w:r>
          </w:p>
        </w:tc>
        <w:tc>
          <w:tcPr>
            <w:tcW w:w="1255" w:type="dxa"/>
          </w:tcPr>
          <w:p w14:paraId="137B08F4" w14:textId="39BA7584" w:rsidR="00C509CD" w:rsidRPr="00C509CD" w:rsidRDefault="00A73DE3" w:rsidP="00BD4A90">
            <w:pPr>
              <w:pStyle w:val="BodyTextIndent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509CD" w14:paraId="3B574EEF" w14:textId="77777777" w:rsidTr="00A73DE3">
        <w:tc>
          <w:tcPr>
            <w:tcW w:w="6660" w:type="dxa"/>
          </w:tcPr>
          <w:p w14:paraId="640EF263" w14:textId="1230B348" w:rsidR="00C509CD" w:rsidRPr="00C509CD" w:rsidRDefault="00A73DE3" w:rsidP="00BD4A90">
            <w:pPr>
              <w:pStyle w:val="BodyTextIndent"/>
              <w:ind w:left="0" w:firstLine="0"/>
              <w:rPr>
                <w:sz w:val="20"/>
              </w:rPr>
            </w:pPr>
            <w:r>
              <w:rPr>
                <w:sz w:val="20"/>
              </w:rPr>
              <w:t>Spare chains per saw</w:t>
            </w:r>
          </w:p>
        </w:tc>
        <w:tc>
          <w:tcPr>
            <w:tcW w:w="1255" w:type="dxa"/>
          </w:tcPr>
          <w:p w14:paraId="2C75B96D" w14:textId="715A8228" w:rsidR="00C509CD" w:rsidRPr="00C509CD" w:rsidRDefault="00A73DE3" w:rsidP="00BD4A90">
            <w:pPr>
              <w:pStyle w:val="BodyTextIndent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509CD" w14:paraId="1B1BC799" w14:textId="77777777" w:rsidTr="00A73DE3">
        <w:tc>
          <w:tcPr>
            <w:tcW w:w="6660" w:type="dxa"/>
          </w:tcPr>
          <w:p w14:paraId="1F7BF37A" w14:textId="4F2B6D11" w:rsidR="00C509CD" w:rsidRPr="00C509CD" w:rsidRDefault="00A73DE3" w:rsidP="00BD4A90">
            <w:pPr>
              <w:pStyle w:val="BodyTextIndent"/>
              <w:ind w:left="0" w:firstLine="0"/>
              <w:rPr>
                <w:sz w:val="20"/>
              </w:rPr>
            </w:pPr>
            <w:r>
              <w:rPr>
                <w:sz w:val="20"/>
              </w:rPr>
              <w:t>Felling wedges (12”, 8”, 6”, etc.)</w:t>
            </w:r>
          </w:p>
        </w:tc>
        <w:tc>
          <w:tcPr>
            <w:tcW w:w="1255" w:type="dxa"/>
          </w:tcPr>
          <w:p w14:paraId="71386230" w14:textId="78C57F2E" w:rsidR="00C509CD" w:rsidRPr="00C509CD" w:rsidRDefault="00A73DE3" w:rsidP="00BD4A90">
            <w:pPr>
              <w:pStyle w:val="BodyTextIndent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C509CD" w14:paraId="5929D4BE" w14:textId="77777777" w:rsidTr="00A73DE3">
        <w:tc>
          <w:tcPr>
            <w:tcW w:w="6660" w:type="dxa"/>
          </w:tcPr>
          <w:p w14:paraId="13C4EB50" w14:textId="5E18CE3A" w:rsidR="00C509CD" w:rsidRPr="00C509CD" w:rsidRDefault="00A73DE3" w:rsidP="00BD4A90">
            <w:pPr>
              <w:pStyle w:val="BodyTextIndent"/>
              <w:ind w:left="0" w:firstLine="0"/>
              <w:rPr>
                <w:sz w:val="20"/>
              </w:rPr>
            </w:pPr>
            <w:r>
              <w:rPr>
                <w:sz w:val="20"/>
              </w:rPr>
              <w:t>First-aid kits</w:t>
            </w:r>
          </w:p>
        </w:tc>
        <w:tc>
          <w:tcPr>
            <w:tcW w:w="1255" w:type="dxa"/>
          </w:tcPr>
          <w:p w14:paraId="04840E6B" w14:textId="28341EE2" w:rsidR="00C509CD" w:rsidRPr="00C509CD" w:rsidRDefault="00A73DE3" w:rsidP="00BD4A90">
            <w:pPr>
              <w:pStyle w:val="BodyTextIndent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 per 2 ppl.</w:t>
            </w:r>
          </w:p>
        </w:tc>
      </w:tr>
      <w:tr w:rsidR="00C509CD" w14:paraId="79024EAC" w14:textId="77777777" w:rsidTr="00A73DE3">
        <w:tc>
          <w:tcPr>
            <w:tcW w:w="6660" w:type="dxa"/>
          </w:tcPr>
          <w:p w14:paraId="111B2868" w14:textId="20AC7A05" w:rsidR="00C509CD" w:rsidRPr="00C509CD" w:rsidRDefault="00A73DE3" w:rsidP="00BD4A90">
            <w:pPr>
              <w:pStyle w:val="BodyTextIndent"/>
              <w:ind w:left="0" w:firstLine="0"/>
              <w:rPr>
                <w:sz w:val="20"/>
              </w:rPr>
            </w:pPr>
            <w:r>
              <w:rPr>
                <w:sz w:val="20"/>
              </w:rPr>
              <w:t>Appropriately sized chaps for sawyer and swamper</w:t>
            </w:r>
          </w:p>
        </w:tc>
        <w:tc>
          <w:tcPr>
            <w:tcW w:w="1255" w:type="dxa"/>
          </w:tcPr>
          <w:p w14:paraId="59E9CA4A" w14:textId="13D1DA0D" w:rsidR="00C509CD" w:rsidRPr="00C509CD" w:rsidRDefault="00A73DE3" w:rsidP="00BD4A90">
            <w:pPr>
              <w:pStyle w:val="BodyTextIndent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509CD" w14:paraId="3077AD41" w14:textId="77777777" w:rsidTr="00A73DE3">
        <w:tc>
          <w:tcPr>
            <w:tcW w:w="6660" w:type="dxa"/>
            <w:shd w:val="clear" w:color="auto" w:fill="D9D9D9" w:themeFill="background1" w:themeFillShade="D9"/>
          </w:tcPr>
          <w:p w14:paraId="0CF8EB1A" w14:textId="27274474" w:rsidR="00C509CD" w:rsidRPr="00A73DE3" w:rsidRDefault="00A73DE3" w:rsidP="00BD4A90">
            <w:pPr>
              <w:pStyle w:val="BodyTextIndent"/>
              <w:ind w:left="0" w:firstLine="0"/>
              <w:rPr>
                <w:b/>
                <w:sz w:val="20"/>
              </w:rPr>
            </w:pPr>
            <w:r w:rsidRPr="00A73DE3">
              <w:rPr>
                <w:b/>
                <w:sz w:val="20"/>
              </w:rPr>
              <w:t>Recommended Toolkit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445FF646" w14:textId="6AA04034" w:rsidR="00C509CD" w:rsidRPr="00A73DE3" w:rsidRDefault="00A73DE3" w:rsidP="00BD4A90">
            <w:pPr>
              <w:pStyle w:val="BodyTextIndent"/>
              <w:ind w:left="0" w:firstLine="0"/>
              <w:jc w:val="center"/>
              <w:rPr>
                <w:b/>
                <w:sz w:val="20"/>
              </w:rPr>
            </w:pPr>
            <w:r w:rsidRPr="00A73DE3">
              <w:rPr>
                <w:b/>
                <w:sz w:val="20"/>
              </w:rPr>
              <w:t>Quantity</w:t>
            </w:r>
          </w:p>
        </w:tc>
      </w:tr>
      <w:tr w:rsidR="00C509CD" w14:paraId="2F211782" w14:textId="77777777" w:rsidTr="00A73DE3">
        <w:tc>
          <w:tcPr>
            <w:tcW w:w="6660" w:type="dxa"/>
          </w:tcPr>
          <w:p w14:paraId="6B9AF054" w14:textId="3BCCE0C8" w:rsidR="00C509CD" w:rsidRPr="00C509CD" w:rsidRDefault="00A73DE3" w:rsidP="00BD4A90">
            <w:pPr>
              <w:pStyle w:val="BodyTextIndent"/>
              <w:ind w:left="0" w:firstLine="0"/>
              <w:rPr>
                <w:sz w:val="20"/>
              </w:rPr>
            </w:pPr>
            <w:r>
              <w:rPr>
                <w:sz w:val="20"/>
              </w:rPr>
              <w:t>Scrench – Flathead</w:t>
            </w:r>
          </w:p>
        </w:tc>
        <w:tc>
          <w:tcPr>
            <w:tcW w:w="1255" w:type="dxa"/>
          </w:tcPr>
          <w:p w14:paraId="3202C3DF" w14:textId="088D21DD" w:rsidR="00C509CD" w:rsidRPr="00C509CD" w:rsidRDefault="00A73DE3" w:rsidP="00BD4A90">
            <w:pPr>
              <w:pStyle w:val="BodyTextIndent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</w:tr>
      <w:tr w:rsidR="00C509CD" w14:paraId="083B2A68" w14:textId="77777777" w:rsidTr="00A73DE3">
        <w:tc>
          <w:tcPr>
            <w:tcW w:w="6660" w:type="dxa"/>
          </w:tcPr>
          <w:p w14:paraId="19FCE7E9" w14:textId="695CE889" w:rsidR="00C509CD" w:rsidRPr="00C509CD" w:rsidRDefault="00A73DE3" w:rsidP="00BD4A90">
            <w:pPr>
              <w:pStyle w:val="BodyTextIndent"/>
              <w:ind w:left="0" w:firstLine="0"/>
              <w:rPr>
                <w:sz w:val="20"/>
              </w:rPr>
            </w:pPr>
            <w:r>
              <w:rPr>
                <w:sz w:val="20"/>
              </w:rPr>
              <w:t>Scrench – Torx</w:t>
            </w:r>
          </w:p>
        </w:tc>
        <w:tc>
          <w:tcPr>
            <w:tcW w:w="1255" w:type="dxa"/>
          </w:tcPr>
          <w:p w14:paraId="1659A5D2" w14:textId="2C51CA6E" w:rsidR="00C509CD" w:rsidRPr="00C509CD" w:rsidRDefault="00A73DE3" w:rsidP="00BD4A90">
            <w:pPr>
              <w:pStyle w:val="BodyTextIndent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509CD" w14:paraId="5EC67DFA" w14:textId="77777777" w:rsidTr="00A73DE3">
        <w:tc>
          <w:tcPr>
            <w:tcW w:w="6660" w:type="dxa"/>
          </w:tcPr>
          <w:p w14:paraId="3625C1FC" w14:textId="782D9A7E" w:rsidR="00C509CD" w:rsidRPr="00C509CD" w:rsidRDefault="00A73DE3" w:rsidP="00BD4A90">
            <w:pPr>
              <w:pStyle w:val="BodyTextIndent"/>
              <w:ind w:left="0" w:firstLine="0"/>
              <w:rPr>
                <w:sz w:val="20"/>
              </w:rPr>
            </w:pPr>
            <w:r>
              <w:rPr>
                <w:sz w:val="20"/>
              </w:rPr>
              <w:t>Round files (appropriate for chain(s) being used)</w:t>
            </w:r>
          </w:p>
        </w:tc>
        <w:tc>
          <w:tcPr>
            <w:tcW w:w="1255" w:type="dxa"/>
          </w:tcPr>
          <w:p w14:paraId="618FA554" w14:textId="47324392" w:rsidR="00C509CD" w:rsidRPr="00C509CD" w:rsidRDefault="00A73DE3" w:rsidP="00BD4A90">
            <w:pPr>
              <w:pStyle w:val="BodyTextIndent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509CD" w14:paraId="3846B23B" w14:textId="77777777" w:rsidTr="00A73DE3">
        <w:tc>
          <w:tcPr>
            <w:tcW w:w="6660" w:type="dxa"/>
          </w:tcPr>
          <w:p w14:paraId="25771A60" w14:textId="171ED21E" w:rsidR="00C509CD" w:rsidRPr="00C509CD" w:rsidRDefault="00A73DE3" w:rsidP="00BD4A90">
            <w:pPr>
              <w:pStyle w:val="BodyTextIndent"/>
              <w:ind w:left="0" w:firstLine="0"/>
              <w:rPr>
                <w:sz w:val="20"/>
              </w:rPr>
            </w:pPr>
            <w:r>
              <w:rPr>
                <w:sz w:val="20"/>
              </w:rPr>
              <w:t>Single mill flat file</w:t>
            </w:r>
          </w:p>
        </w:tc>
        <w:tc>
          <w:tcPr>
            <w:tcW w:w="1255" w:type="dxa"/>
          </w:tcPr>
          <w:p w14:paraId="653B8ABF" w14:textId="421D9690" w:rsidR="00C509CD" w:rsidRPr="00C509CD" w:rsidRDefault="00A73DE3" w:rsidP="00BD4A90">
            <w:pPr>
              <w:pStyle w:val="BodyTextIndent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</w:tr>
      <w:tr w:rsidR="00C509CD" w14:paraId="215F7A51" w14:textId="77777777" w:rsidTr="00A73DE3">
        <w:tc>
          <w:tcPr>
            <w:tcW w:w="6660" w:type="dxa"/>
          </w:tcPr>
          <w:p w14:paraId="4F0821FA" w14:textId="1B9EE729" w:rsidR="00C509CD" w:rsidRPr="00C509CD" w:rsidRDefault="00A73DE3" w:rsidP="00BD4A90">
            <w:pPr>
              <w:pStyle w:val="BodyTextIndent"/>
              <w:ind w:left="0" w:firstLine="0"/>
              <w:rPr>
                <w:sz w:val="20"/>
              </w:rPr>
            </w:pPr>
            <w:r>
              <w:rPr>
                <w:sz w:val="20"/>
              </w:rPr>
              <w:t>Spark plug (appropriate for saw(s) being used)</w:t>
            </w:r>
          </w:p>
        </w:tc>
        <w:tc>
          <w:tcPr>
            <w:tcW w:w="1255" w:type="dxa"/>
          </w:tcPr>
          <w:p w14:paraId="060C4FD6" w14:textId="24E88B39" w:rsidR="00C509CD" w:rsidRPr="00C509CD" w:rsidRDefault="00A73DE3" w:rsidP="00BD4A90">
            <w:pPr>
              <w:pStyle w:val="BodyTextIndent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509CD" w14:paraId="1CE5DAC9" w14:textId="77777777" w:rsidTr="00A73DE3">
        <w:tc>
          <w:tcPr>
            <w:tcW w:w="6660" w:type="dxa"/>
          </w:tcPr>
          <w:p w14:paraId="569C701F" w14:textId="2464D62C" w:rsidR="00C509CD" w:rsidRPr="00C509CD" w:rsidRDefault="0056157B" w:rsidP="00BD4A90">
            <w:pPr>
              <w:pStyle w:val="BodyTextIndent"/>
              <w:ind w:left="0" w:firstLine="0"/>
              <w:rPr>
                <w:sz w:val="20"/>
              </w:rPr>
            </w:pPr>
            <w:r>
              <w:rPr>
                <w:sz w:val="20"/>
              </w:rPr>
              <w:t>Rags</w:t>
            </w:r>
          </w:p>
        </w:tc>
        <w:tc>
          <w:tcPr>
            <w:tcW w:w="1255" w:type="dxa"/>
          </w:tcPr>
          <w:p w14:paraId="4A864A86" w14:textId="03CFDF21" w:rsidR="00C509CD" w:rsidRPr="00C509CD" w:rsidRDefault="0056157B" w:rsidP="00BD4A90">
            <w:pPr>
              <w:pStyle w:val="BodyTextIndent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3-4</w:t>
            </w:r>
          </w:p>
        </w:tc>
      </w:tr>
      <w:tr w:rsidR="00C509CD" w14:paraId="266CEB91" w14:textId="77777777" w:rsidTr="00A73DE3">
        <w:tc>
          <w:tcPr>
            <w:tcW w:w="6660" w:type="dxa"/>
          </w:tcPr>
          <w:p w14:paraId="1183925A" w14:textId="167D959B" w:rsidR="00C509CD" w:rsidRPr="00C509CD" w:rsidRDefault="0056157B" w:rsidP="00BD4A90">
            <w:pPr>
              <w:pStyle w:val="BodyTextIndent"/>
              <w:ind w:left="0" w:firstLine="0"/>
              <w:rPr>
                <w:sz w:val="20"/>
              </w:rPr>
            </w:pPr>
            <w:r>
              <w:rPr>
                <w:sz w:val="20"/>
              </w:rPr>
              <w:t>Air filter</w:t>
            </w:r>
          </w:p>
        </w:tc>
        <w:tc>
          <w:tcPr>
            <w:tcW w:w="1255" w:type="dxa"/>
          </w:tcPr>
          <w:p w14:paraId="7F9230F4" w14:textId="6AE10916" w:rsidR="00C509CD" w:rsidRPr="00C509CD" w:rsidRDefault="0056157B" w:rsidP="00BD4A90">
            <w:pPr>
              <w:pStyle w:val="BodyTextIndent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509CD" w14:paraId="42830C6F" w14:textId="77777777" w:rsidTr="00A73DE3">
        <w:tc>
          <w:tcPr>
            <w:tcW w:w="6660" w:type="dxa"/>
          </w:tcPr>
          <w:p w14:paraId="66F4C05F" w14:textId="75EA3AFF" w:rsidR="00C509CD" w:rsidRPr="00C509CD" w:rsidRDefault="0056157B" w:rsidP="00BD4A90">
            <w:pPr>
              <w:pStyle w:val="BodyTextIndent"/>
              <w:ind w:left="0" w:firstLine="0"/>
              <w:rPr>
                <w:sz w:val="20"/>
              </w:rPr>
            </w:pPr>
            <w:r>
              <w:rPr>
                <w:sz w:val="20"/>
              </w:rPr>
              <w:t>Tube of bearing grease</w:t>
            </w:r>
          </w:p>
        </w:tc>
        <w:tc>
          <w:tcPr>
            <w:tcW w:w="1255" w:type="dxa"/>
          </w:tcPr>
          <w:p w14:paraId="5684DF9A" w14:textId="35E65068" w:rsidR="00C509CD" w:rsidRPr="00C509CD" w:rsidRDefault="0056157B" w:rsidP="00BD4A90">
            <w:pPr>
              <w:pStyle w:val="BodyTextIndent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509CD" w14:paraId="029E3205" w14:textId="77777777" w:rsidTr="00A73DE3">
        <w:tc>
          <w:tcPr>
            <w:tcW w:w="6660" w:type="dxa"/>
          </w:tcPr>
          <w:p w14:paraId="54331E99" w14:textId="701E74B8" w:rsidR="00C509CD" w:rsidRPr="00C509CD" w:rsidRDefault="0056157B" w:rsidP="00BD4A90">
            <w:pPr>
              <w:pStyle w:val="BodyTextIndent"/>
              <w:ind w:left="0" w:firstLine="0"/>
              <w:rPr>
                <w:sz w:val="20"/>
              </w:rPr>
            </w:pPr>
            <w:r>
              <w:rPr>
                <w:sz w:val="20"/>
              </w:rPr>
              <w:t>Small wire brush</w:t>
            </w:r>
          </w:p>
        </w:tc>
        <w:tc>
          <w:tcPr>
            <w:tcW w:w="1255" w:type="dxa"/>
          </w:tcPr>
          <w:p w14:paraId="4829B1FE" w14:textId="5B70AC41" w:rsidR="00C509CD" w:rsidRPr="00C509CD" w:rsidRDefault="0056157B" w:rsidP="00BD4A90">
            <w:pPr>
              <w:pStyle w:val="BodyTextIndent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509CD" w14:paraId="2FDEFE69" w14:textId="77777777" w:rsidTr="00A73DE3">
        <w:tc>
          <w:tcPr>
            <w:tcW w:w="6660" w:type="dxa"/>
          </w:tcPr>
          <w:p w14:paraId="5420BA69" w14:textId="59F0C5F0" w:rsidR="00C509CD" w:rsidRPr="00C509CD" w:rsidRDefault="0056157B" w:rsidP="00BD4A90">
            <w:pPr>
              <w:pStyle w:val="BodyTextIndent"/>
              <w:ind w:left="0" w:firstLine="0"/>
              <w:rPr>
                <w:sz w:val="20"/>
              </w:rPr>
            </w:pPr>
            <w:r>
              <w:rPr>
                <w:sz w:val="20"/>
              </w:rPr>
              <w:t>Small tuning screwdriver (flathead)</w:t>
            </w:r>
          </w:p>
        </w:tc>
        <w:tc>
          <w:tcPr>
            <w:tcW w:w="1255" w:type="dxa"/>
          </w:tcPr>
          <w:p w14:paraId="069C2909" w14:textId="04E667CD" w:rsidR="00C509CD" w:rsidRPr="00C509CD" w:rsidRDefault="0056157B" w:rsidP="00BD4A90">
            <w:pPr>
              <w:pStyle w:val="BodyTextIndent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509CD" w14:paraId="77341889" w14:textId="77777777" w:rsidTr="00A73DE3">
        <w:tc>
          <w:tcPr>
            <w:tcW w:w="6660" w:type="dxa"/>
          </w:tcPr>
          <w:p w14:paraId="42830C1F" w14:textId="5FB98A0D" w:rsidR="00C509CD" w:rsidRPr="00C509CD" w:rsidRDefault="0056157B" w:rsidP="00BD4A90">
            <w:pPr>
              <w:pStyle w:val="BodyTextIndent"/>
              <w:ind w:left="0" w:firstLine="0"/>
              <w:rPr>
                <w:sz w:val="20"/>
              </w:rPr>
            </w:pPr>
            <w:r>
              <w:rPr>
                <w:sz w:val="20"/>
              </w:rPr>
              <w:t>Depth-gauge tool (optional)</w:t>
            </w:r>
          </w:p>
        </w:tc>
        <w:tc>
          <w:tcPr>
            <w:tcW w:w="1255" w:type="dxa"/>
          </w:tcPr>
          <w:p w14:paraId="3874E2F8" w14:textId="6BF1FBE6" w:rsidR="00C509CD" w:rsidRPr="00C509CD" w:rsidRDefault="0056157B" w:rsidP="00BD4A90">
            <w:pPr>
              <w:pStyle w:val="BodyTextIndent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509CD" w14:paraId="53AE71A0" w14:textId="77777777" w:rsidTr="0056157B">
        <w:tc>
          <w:tcPr>
            <w:tcW w:w="6660" w:type="dxa"/>
            <w:shd w:val="clear" w:color="auto" w:fill="D9D9D9" w:themeFill="background1" w:themeFillShade="D9"/>
          </w:tcPr>
          <w:p w14:paraId="0EDD815C" w14:textId="3FB62BBD" w:rsidR="00C509CD" w:rsidRPr="0056157B" w:rsidRDefault="0056157B" w:rsidP="00BD4A90">
            <w:pPr>
              <w:pStyle w:val="BodyTextIndent"/>
              <w:ind w:left="0" w:firstLine="0"/>
              <w:rPr>
                <w:b/>
                <w:sz w:val="20"/>
              </w:rPr>
            </w:pPr>
            <w:r w:rsidRPr="0056157B">
              <w:rPr>
                <w:b/>
                <w:sz w:val="20"/>
              </w:rPr>
              <w:t>Recommended Spare Parts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62B84EA8" w14:textId="6762E9D6" w:rsidR="00C509CD" w:rsidRPr="0056157B" w:rsidRDefault="0056157B" w:rsidP="00BD4A90">
            <w:pPr>
              <w:pStyle w:val="BodyTextIndent"/>
              <w:ind w:left="0" w:firstLine="0"/>
              <w:jc w:val="center"/>
              <w:rPr>
                <w:b/>
                <w:sz w:val="20"/>
              </w:rPr>
            </w:pPr>
            <w:r w:rsidRPr="0056157B">
              <w:rPr>
                <w:b/>
                <w:sz w:val="20"/>
              </w:rPr>
              <w:t>Quantity</w:t>
            </w:r>
          </w:p>
        </w:tc>
      </w:tr>
      <w:tr w:rsidR="00C509CD" w14:paraId="1DE98129" w14:textId="77777777" w:rsidTr="00A73DE3">
        <w:tc>
          <w:tcPr>
            <w:tcW w:w="6660" w:type="dxa"/>
          </w:tcPr>
          <w:p w14:paraId="07140A16" w14:textId="07438EC9" w:rsidR="00C509CD" w:rsidRPr="00C509CD" w:rsidRDefault="0056157B" w:rsidP="00BD4A90">
            <w:pPr>
              <w:pStyle w:val="BodyTextIndent"/>
              <w:ind w:left="0" w:firstLine="0"/>
              <w:rPr>
                <w:sz w:val="20"/>
              </w:rPr>
            </w:pPr>
            <w:r>
              <w:rPr>
                <w:sz w:val="20"/>
              </w:rPr>
              <w:t>E-Clips</w:t>
            </w:r>
          </w:p>
        </w:tc>
        <w:tc>
          <w:tcPr>
            <w:tcW w:w="1255" w:type="dxa"/>
          </w:tcPr>
          <w:p w14:paraId="26D39435" w14:textId="040A06AB" w:rsidR="00C509CD" w:rsidRPr="00C509CD" w:rsidRDefault="0056157B" w:rsidP="00BD4A90">
            <w:pPr>
              <w:pStyle w:val="BodyTextIndent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2-4</w:t>
            </w:r>
          </w:p>
        </w:tc>
      </w:tr>
      <w:tr w:rsidR="00C509CD" w14:paraId="695FEE39" w14:textId="77777777" w:rsidTr="00A73DE3">
        <w:tc>
          <w:tcPr>
            <w:tcW w:w="6660" w:type="dxa"/>
          </w:tcPr>
          <w:p w14:paraId="670BDCEA" w14:textId="4931D86B" w:rsidR="00C509CD" w:rsidRPr="00C509CD" w:rsidRDefault="0056157B" w:rsidP="00BD4A90">
            <w:pPr>
              <w:pStyle w:val="BodyTextIndent"/>
              <w:ind w:left="0" w:firstLine="0"/>
              <w:rPr>
                <w:sz w:val="20"/>
              </w:rPr>
            </w:pPr>
            <w:r>
              <w:rPr>
                <w:sz w:val="20"/>
              </w:rPr>
              <w:t>Bar nuts</w:t>
            </w:r>
          </w:p>
        </w:tc>
        <w:tc>
          <w:tcPr>
            <w:tcW w:w="1255" w:type="dxa"/>
          </w:tcPr>
          <w:p w14:paraId="4D26ED06" w14:textId="6070833C" w:rsidR="00C509CD" w:rsidRPr="00C509CD" w:rsidRDefault="0056157B" w:rsidP="00BD4A90">
            <w:pPr>
              <w:pStyle w:val="BodyTextIndent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2-4</w:t>
            </w:r>
          </w:p>
        </w:tc>
      </w:tr>
      <w:tr w:rsidR="00C509CD" w14:paraId="01EBF450" w14:textId="77777777" w:rsidTr="00A73DE3">
        <w:tc>
          <w:tcPr>
            <w:tcW w:w="6660" w:type="dxa"/>
          </w:tcPr>
          <w:p w14:paraId="1DA17F99" w14:textId="1C87234E" w:rsidR="00C509CD" w:rsidRPr="00C509CD" w:rsidRDefault="0056157B" w:rsidP="00BD4A90">
            <w:pPr>
              <w:pStyle w:val="BodyTextIndent"/>
              <w:ind w:left="0" w:firstLine="0"/>
              <w:rPr>
                <w:sz w:val="20"/>
              </w:rPr>
            </w:pPr>
            <w:r>
              <w:rPr>
                <w:sz w:val="20"/>
              </w:rPr>
              <w:t>Needle bearings</w:t>
            </w:r>
          </w:p>
        </w:tc>
        <w:tc>
          <w:tcPr>
            <w:tcW w:w="1255" w:type="dxa"/>
          </w:tcPr>
          <w:p w14:paraId="57A8CDCC" w14:textId="07622AC6" w:rsidR="00C509CD" w:rsidRPr="00C509CD" w:rsidRDefault="0056157B" w:rsidP="00BD4A90">
            <w:pPr>
              <w:pStyle w:val="BodyTextIndent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509CD" w14:paraId="6F1FE1C3" w14:textId="77777777" w:rsidTr="00A73DE3">
        <w:tc>
          <w:tcPr>
            <w:tcW w:w="6660" w:type="dxa"/>
          </w:tcPr>
          <w:p w14:paraId="45E9B15E" w14:textId="02CAA215" w:rsidR="00C509CD" w:rsidRPr="00C509CD" w:rsidRDefault="0056157B" w:rsidP="00BD4A90">
            <w:pPr>
              <w:pStyle w:val="BodyTextIndent"/>
              <w:ind w:left="0" w:firstLine="0"/>
              <w:rPr>
                <w:sz w:val="20"/>
              </w:rPr>
            </w:pPr>
            <w:r>
              <w:rPr>
                <w:sz w:val="20"/>
              </w:rPr>
              <w:t>Chain sprocket</w:t>
            </w:r>
          </w:p>
        </w:tc>
        <w:tc>
          <w:tcPr>
            <w:tcW w:w="1255" w:type="dxa"/>
          </w:tcPr>
          <w:p w14:paraId="3146405C" w14:textId="32B8A9F7" w:rsidR="00C509CD" w:rsidRPr="00C509CD" w:rsidRDefault="0056157B" w:rsidP="00BD4A90">
            <w:pPr>
              <w:pStyle w:val="BodyTextIndent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509CD" w14:paraId="38944C03" w14:textId="77777777" w:rsidTr="00A73DE3">
        <w:tc>
          <w:tcPr>
            <w:tcW w:w="6660" w:type="dxa"/>
          </w:tcPr>
          <w:p w14:paraId="23385C9B" w14:textId="2EEE4867" w:rsidR="00C509CD" w:rsidRPr="00C509CD" w:rsidRDefault="0056157B" w:rsidP="00BD4A90">
            <w:pPr>
              <w:pStyle w:val="BodyTextIndent"/>
              <w:ind w:left="0" w:firstLine="0"/>
              <w:rPr>
                <w:sz w:val="20"/>
              </w:rPr>
            </w:pPr>
            <w:r>
              <w:rPr>
                <w:sz w:val="20"/>
              </w:rPr>
              <w:t>Clutch drum</w:t>
            </w:r>
          </w:p>
        </w:tc>
        <w:tc>
          <w:tcPr>
            <w:tcW w:w="1255" w:type="dxa"/>
          </w:tcPr>
          <w:p w14:paraId="44457B34" w14:textId="065C6C8A" w:rsidR="00C509CD" w:rsidRPr="00C509CD" w:rsidRDefault="0056157B" w:rsidP="00BD4A90">
            <w:pPr>
              <w:pStyle w:val="BodyTextIndent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6157B" w14:paraId="5C5B54EA" w14:textId="77777777" w:rsidTr="00A73DE3">
        <w:tc>
          <w:tcPr>
            <w:tcW w:w="6660" w:type="dxa"/>
          </w:tcPr>
          <w:p w14:paraId="49F6937A" w14:textId="50788010" w:rsidR="0056157B" w:rsidRPr="00C509CD" w:rsidRDefault="0056157B" w:rsidP="00BD4A90">
            <w:pPr>
              <w:pStyle w:val="BodyTextIndent"/>
              <w:ind w:left="0" w:firstLine="0"/>
              <w:rPr>
                <w:sz w:val="20"/>
              </w:rPr>
            </w:pPr>
            <w:r>
              <w:rPr>
                <w:sz w:val="20"/>
              </w:rPr>
              <w:t>Chain tensioner assembly</w:t>
            </w:r>
          </w:p>
        </w:tc>
        <w:tc>
          <w:tcPr>
            <w:tcW w:w="1255" w:type="dxa"/>
          </w:tcPr>
          <w:p w14:paraId="13847A7A" w14:textId="39D5B5FD" w:rsidR="0056157B" w:rsidRPr="00C509CD" w:rsidRDefault="0056157B" w:rsidP="00BD4A90">
            <w:pPr>
              <w:pStyle w:val="BodyTextIndent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6157B" w14:paraId="3FF1D74D" w14:textId="77777777" w:rsidTr="00A73DE3">
        <w:tc>
          <w:tcPr>
            <w:tcW w:w="6660" w:type="dxa"/>
          </w:tcPr>
          <w:p w14:paraId="6BF89CBA" w14:textId="3B76E18D" w:rsidR="0056157B" w:rsidRPr="00C509CD" w:rsidRDefault="0056157B" w:rsidP="00BD4A90">
            <w:pPr>
              <w:pStyle w:val="BodyTextIndent"/>
              <w:ind w:left="0" w:firstLine="0"/>
              <w:rPr>
                <w:sz w:val="20"/>
              </w:rPr>
            </w:pPr>
            <w:r>
              <w:rPr>
                <w:sz w:val="20"/>
              </w:rPr>
              <w:t>Pull rope with handle</w:t>
            </w:r>
          </w:p>
        </w:tc>
        <w:tc>
          <w:tcPr>
            <w:tcW w:w="1255" w:type="dxa"/>
          </w:tcPr>
          <w:p w14:paraId="3BA18ED8" w14:textId="5AB7A375" w:rsidR="0056157B" w:rsidRPr="00C509CD" w:rsidRDefault="0056157B" w:rsidP="00BD4A90">
            <w:pPr>
              <w:pStyle w:val="BodyTextIndent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6157B" w14:paraId="559E75F2" w14:textId="77777777" w:rsidTr="00A73DE3">
        <w:tc>
          <w:tcPr>
            <w:tcW w:w="6660" w:type="dxa"/>
          </w:tcPr>
          <w:p w14:paraId="058221DF" w14:textId="74C8052E" w:rsidR="0056157B" w:rsidRPr="00C509CD" w:rsidRDefault="0056157B" w:rsidP="00BD4A90">
            <w:pPr>
              <w:pStyle w:val="BodyTextIndent"/>
              <w:ind w:left="0" w:firstLine="0"/>
              <w:rPr>
                <w:sz w:val="20"/>
              </w:rPr>
            </w:pPr>
            <w:r>
              <w:rPr>
                <w:sz w:val="20"/>
              </w:rPr>
              <w:t>Spare fuel filter</w:t>
            </w:r>
          </w:p>
        </w:tc>
        <w:tc>
          <w:tcPr>
            <w:tcW w:w="1255" w:type="dxa"/>
          </w:tcPr>
          <w:p w14:paraId="6C5A0C80" w14:textId="387BB4A4" w:rsidR="0056157B" w:rsidRPr="00C509CD" w:rsidRDefault="0056157B" w:rsidP="00BD4A90">
            <w:pPr>
              <w:pStyle w:val="BodyTextIndent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14:paraId="14183038" w14:textId="0E106E33" w:rsidR="00C509CD" w:rsidRDefault="00C509CD" w:rsidP="00BD4A90">
      <w:pPr>
        <w:pStyle w:val="BodyTextIndent"/>
        <w:ind w:left="1440"/>
        <w:rPr>
          <w:szCs w:val="24"/>
        </w:rPr>
      </w:pPr>
    </w:p>
    <w:p w14:paraId="588D8D27" w14:textId="060C7B01" w:rsidR="00C509CD" w:rsidRPr="00C509CD" w:rsidRDefault="00C509CD" w:rsidP="00BD4A90">
      <w:pPr>
        <w:pStyle w:val="BodyTextIndent"/>
        <w:rPr>
          <w:szCs w:val="24"/>
        </w:rPr>
      </w:pPr>
    </w:p>
    <w:p w14:paraId="23BA5066" w14:textId="77777777" w:rsidR="00163D21" w:rsidRDefault="00163D21" w:rsidP="00BD4A90"/>
    <w:p w14:paraId="57CC9B70" w14:textId="77777777" w:rsidR="009E4870" w:rsidRDefault="009E4870" w:rsidP="00163D21">
      <w:pPr>
        <w:jc w:val="center"/>
        <w:rPr>
          <w:snapToGrid w:val="0"/>
        </w:rPr>
      </w:pPr>
    </w:p>
    <w:p w14:paraId="7B07199B" w14:textId="2EBC1AC8" w:rsidR="00AC57E6" w:rsidRDefault="00163D21" w:rsidP="00B40247">
      <w:pPr>
        <w:jc w:val="center"/>
      </w:pPr>
      <w:r>
        <w:rPr>
          <w:snapToGrid w:val="0"/>
        </w:rPr>
        <w:t>CONTACT:</w:t>
      </w:r>
      <w:r w:rsidR="008F6712">
        <w:rPr>
          <w:snapToGrid w:val="0"/>
        </w:rPr>
        <w:t xml:space="preserve">  </w:t>
      </w:r>
      <w:hyperlink r:id="rId13" w:history="1">
        <w:r w:rsidR="007A3B8B" w:rsidRPr="007A3B8B">
          <w:rPr>
            <w:rStyle w:val="Hyperlink"/>
            <w:snapToGrid w:val="0"/>
          </w:rPr>
          <w:t>Qualifications</w:t>
        </w:r>
      </w:hyperlink>
      <w:r w:rsidR="00502490">
        <w:rPr>
          <w:snapToGrid w:val="0"/>
        </w:rPr>
        <w:t xml:space="preserve">, (936) </w:t>
      </w:r>
      <w:r w:rsidR="00102A50">
        <w:rPr>
          <w:snapToGrid w:val="0"/>
        </w:rPr>
        <w:t>564-9825</w:t>
      </w:r>
    </w:p>
    <w:sectPr w:rsidR="00AC57E6" w:rsidSect="00B40247">
      <w:footerReference w:type="default" r:id="rId14"/>
      <w:pgSz w:w="12240" w:h="15840"/>
      <w:pgMar w:top="80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AF939" w14:textId="77777777" w:rsidR="009902BA" w:rsidRDefault="009902BA">
      <w:r>
        <w:separator/>
      </w:r>
    </w:p>
  </w:endnote>
  <w:endnote w:type="continuationSeparator" w:id="0">
    <w:p w14:paraId="11A6A097" w14:textId="77777777" w:rsidR="009902BA" w:rsidRDefault="0099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70DF9" w14:textId="77777777" w:rsidR="0031064C" w:rsidRDefault="0031064C" w:rsidP="00446D3F">
    <w:pPr>
      <w:pStyle w:val="Header"/>
    </w:pPr>
  </w:p>
  <w:p w14:paraId="48BFB105" w14:textId="77777777" w:rsidR="0031064C" w:rsidRDefault="00163D21" w:rsidP="00446D3F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CF6E30E" w14:textId="77777777" w:rsidR="0031064C" w:rsidRDefault="0031064C" w:rsidP="00446D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5C843" w14:textId="77777777" w:rsidR="009902BA" w:rsidRDefault="009902BA">
      <w:r>
        <w:separator/>
      </w:r>
    </w:p>
  </w:footnote>
  <w:footnote w:type="continuationSeparator" w:id="0">
    <w:p w14:paraId="2041323D" w14:textId="77777777" w:rsidR="009902BA" w:rsidRDefault="00990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24819"/>
    <w:multiLevelType w:val="hybridMultilevel"/>
    <w:tmpl w:val="D4401F48"/>
    <w:lvl w:ilvl="0" w:tplc="B5E45FC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CF1CF6"/>
    <w:multiLevelType w:val="multilevel"/>
    <w:tmpl w:val="5F8C0C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72" w:hanging="1800"/>
      </w:pPr>
      <w:rPr>
        <w:rFonts w:hint="default"/>
      </w:rPr>
    </w:lvl>
  </w:abstractNum>
  <w:num w:numId="1" w16cid:durableId="1582104664">
    <w:abstractNumId w:val="1"/>
  </w:num>
  <w:num w:numId="2" w16cid:durableId="115403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aF9aHLgCHSLtI5WYZrithkry5h3hK6wAaieK9QGG+05jwneUmmCkHpZ9W+DGrSsVFdfrLvSJVWN9TApQu0AzRQ==" w:salt="0BsIAQ39u+vY9ehPZsgc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21"/>
    <w:rsid w:val="0001302F"/>
    <w:rsid w:val="00022DF9"/>
    <w:rsid w:val="00056734"/>
    <w:rsid w:val="000A0581"/>
    <w:rsid w:val="000D3A9A"/>
    <w:rsid w:val="000F432E"/>
    <w:rsid w:val="000F7533"/>
    <w:rsid w:val="00102A50"/>
    <w:rsid w:val="00163D21"/>
    <w:rsid w:val="001B5D55"/>
    <w:rsid w:val="00241DE0"/>
    <w:rsid w:val="002B4E61"/>
    <w:rsid w:val="002C3265"/>
    <w:rsid w:val="0031064C"/>
    <w:rsid w:val="0033198A"/>
    <w:rsid w:val="00343EC1"/>
    <w:rsid w:val="003601A1"/>
    <w:rsid w:val="00370CA1"/>
    <w:rsid w:val="00384789"/>
    <w:rsid w:val="003A20F8"/>
    <w:rsid w:val="003C7AB3"/>
    <w:rsid w:val="003E4CB5"/>
    <w:rsid w:val="00410D70"/>
    <w:rsid w:val="00424AAD"/>
    <w:rsid w:val="004604C7"/>
    <w:rsid w:val="00466BD7"/>
    <w:rsid w:val="00473C1D"/>
    <w:rsid w:val="00496E63"/>
    <w:rsid w:val="004B14D2"/>
    <w:rsid w:val="00502490"/>
    <w:rsid w:val="0056157B"/>
    <w:rsid w:val="00580579"/>
    <w:rsid w:val="00584416"/>
    <w:rsid w:val="005D12CD"/>
    <w:rsid w:val="00642185"/>
    <w:rsid w:val="006558FC"/>
    <w:rsid w:val="006733F7"/>
    <w:rsid w:val="00725518"/>
    <w:rsid w:val="00744B8C"/>
    <w:rsid w:val="00765C7E"/>
    <w:rsid w:val="00767A7D"/>
    <w:rsid w:val="00770C85"/>
    <w:rsid w:val="00777406"/>
    <w:rsid w:val="007A3B8B"/>
    <w:rsid w:val="007C1423"/>
    <w:rsid w:val="008571B2"/>
    <w:rsid w:val="0086600F"/>
    <w:rsid w:val="0087405E"/>
    <w:rsid w:val="008A3FEB"/>
    <w:rsid w:val="008E054D"/>
    <w:rsid w:val="008E0F49"/>
    <w:rsid w:val="008F6712"/>
    <w:rsid w:val="00920FC5"/>
    <w:rsid w:val="009444B2"/>
    <w:rsid w:val="009510C2"/>
    <w:rsid w:val="00967122"/>
    <w:rsid w:val="00983953"/>
    <w:rsid w:val="009902BA"/>
    <w:rsid w:val="0099750D"/>
    <w:rsid w:val="009A34BC"/>
    <w:rsid w:val="009A6695"/>
    <w:rsid w:val="009C4E3C"/>
    <w:rsid w:val="009C77F0"/>
    <w:rsid w:val="009E4870"/>
    <w:rsid w:val="00A21653"/>
    <w:rsid w:val="00A236FC"/>
    <w:rsid w:val="00A65FD5"/>
    <w:rsid w:val="00A70A05"/>
    <w:rsid w:val="00A73DE3"/>
    <w:rsid w:val="00A822A8"/>
    <w:rsid w:val="00AB78B7"/>
    <w:rsid w:val="00AC57E6"/>
    <w:rsid w:val="00B17CDC"/>
    <w:rsid w:val="00B40247"/>
    <w:rsid w:val="00B60F44"/>
    <w:rsid w:val="00B858F4"/>
    <w:rsid w:val="00BB664B"/>
    <w:rsid w:val="00BD4A90"/>
    <w:rsid w:val="00C106C8"/>
    <w:rsid w:val="00C151DA"/>
    <w:rsid w:val="00C509CD"/>
    <w:rsid w:val="00C60302"/>
    <w:rsid w:val="00C845BB"/>
    <w:rsid w:val="00CD581C"/>
    <w:rsid w:val="00CE06E4"/>
    <w:rsid w:val="00CE7565"/>
    <w:rsid w:val="00D54338"/>
    <w:rsid w:val="00D55F68"/>
    <w:rsid w:val="00D93FD3"/>
    <w:rsid w:val="00DA2DF2"/>
    <w:rsid w:val="00E661B2"/>
    <w:rsid w:val="00E81A78"/>
    <w:rsid w:val="00E87E13"/>
    <w:rsid w:val="00E93B3D"/>
    <w:rsid w:val="00F2371B"/>
    <w:rsid w:val="00F273D3"/>
    <w:rsid w:val="00F36AE5"/>
    <w:rsid w:val="00F4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8A8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63D21"/>
    <w:pPr>
      <w:ind w:left="720" w:hanging="72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63D21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163D21"/>
    <w:pPr>
      <w:ind w:left="720" w:hanging="720"/>
    </w:pPr>
    <w:rPr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163D21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rsid w:val="00163D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63D2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63D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63D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163D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63D21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F67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2DF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A3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2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wcg.gov/" TargetMode="External"/><Relationship Id="rId13" Type="http://schemas.openxmlformats.org/officeDocument/2006/relationships/hyperlink" Target="mailto:qualifications@tfs.tamu.e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texasforestservice.sharepoint.com/:b:/s/PnP-PublicDocuments/Ed_YUwgGA9pBiXziAQWTigIB_kbkxxIN4aLf5GIn9dyTag?e=SgjEd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xasforestservice.sharepoint.com/:b:/s/PnP-PublicDocuments/EUJxrFmWDexOohrubiyE_skBoiaaZgoWbV0Xpo5AWWH1RA?e=d1pm3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exasforestservice.sharepoint.com/:b:/s/PnP-PublicDocuments/EfDTPzX8PhpOrPtVHfvy3V4BnzZOyfLiUKojjzgoIsrMOg?e=PVkv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xasforestservice.sharepoint.com/:b:/s/PnP-PublicDocuments/EfDTPzX8PhpOrPtVHfvy3V4BnzZOyfLiUKojjzgoIsrMOg?e=Jfmoi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1722</Words>
  <Characters>9821</Characters>
  <Application>Microsoft Office Word</Application>
  <DocSecurity>8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2025-02-25T17:58:00Z</dcterms:created>
  <dcterms:modified xsi:type="dcterms:W3CDTF">2025-03-19T19:18:00Z</dcterms:modified>
</cp:coreProperties>
</file>