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B498" w14:textId="77777777" w:rsidR="00946FD7" w:rsidRDefault="007B7CFE" w:rsidP="00364A06">
      <w:pPr>
        <w:jc w:val="center"/>
      </w:pPr>
      <w:r>
        <w:rPr>
          <w:noProof/>
        </w:rPr>
        <w:drawing>
          <wp:inline distT="0" distB="0" distL="0" distR="0" wp14:anchorId="5E45B4CB" wp14:editId="5E45B4CC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B499" w14:textId="77777777" w:rsidR="00364A06" w:rsidRDefault="00364A06" w:rsidP="00364A06">
      <w:pPr>
        <w:jc w:val="center"/>
      </w:pPr>
    </w:p>
    <w:p w14:paraId="5E45B49A" w14:textId="77777777" w:rsid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5E45B49B" w14:textId="77777777" w:rsidR="0031050D" w:rsidRPr="008953E3" w:rsidRDefault="0031050D" w:rsidP="00364A06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31050D" w14:paraId="5E45B49E" w14:textId="77777777" w:rsidTr="00E157A0">
        <w:tc>
          <w:tcPr>
            <w:tcW w:w="5940" w:type="dxa"/>
          </w:tcPr>
          <w:p w14:paraId="5E45B49C" w14:textId="77777777" w:rsidR="0031050D" w:rsidRDefault="0031050D" w:rsidP="00ED4316">
            <w:pPr>
              <w:rPr>
                <w:b/>
              </w:rPr>
            </w:pPr>
            <w:r>
              <w:rPr>
                <w:b/>
              </w:rPr>
              <w:t>80.0</w:t>
            </w:r>
            <w:r w:rsidR="00ED4316">
              <w:rPr>
                <w:b/>
              </w:rPr>
              <w:t>6</w:t>
            </w:r>
            <w:r w:rsidRPr="00364A06">
              <w:rPr>
                <w:b/>
              </w:rPr>
              <w:t xml:space="preserve">  </w:t>
            </w:r>
            <w:r>
              <w:rPr>
                <w:b/>
              </w:rPr>
              <w:t>Equipment Usage Expenses</w:t>
            </w:r>
            <w:r w:rsidR="00AD4A63">
              <w:rPr>
                <w:b/>
              </w:rPr>
              <w:t xml:space="preserve"> – In State Incidents</w:t>
            </w:r>
          </w:p>
        </w:tc>
        <w:tc>
          <w:tcPr>
            <w:tcW w:w="3420" w:type="dxa"/>
          </w:tcPr>
          <w:p w14:paraId="5E45B49D" w14:textId="123A8DB1" w:rsidR="0031050D" w:rsidRDefault="002507A9" w:rsidP="00E4567D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1050D">
              <w:rPr>
                <w:b/>
              </w:rPr>
              <w:t xml:space="preserve">:  </w:t>
            </w:r>
            <w:r w:rsidR="008F61E2">
              <w:rPr>
                <w:b/>
              </w:rPr>
              <w:t xml:space="preserve"> </w:t>
            </w:r>
            <w:r w:rsidR="008953E3">
              <w:rPr>
                <w:b/>
              </w:rPr>
              <w:t>November 1</w:t>
            </w:r>
            <w:r>
              <w:rPr>
                <w:b/>
              </w:rPr>
              <w:t>, 2023</w:t>
            </w:r>
          </w:p>
        </w:tc>
      </w:tr>
    </w:tbl>
    <w:p w14:paraId="5E45B4A0" w14:textId="77777777" w:rsidR="00364A06" w:rsidRDefault="00364A06" w:rsidP="00364A06">
      <w:pPr>
        <w:jc w:val="center"/>
      </w:pPr>
    </w:p>
    <w:p w14:paraId="5E45B4A1" w14:textId="77777777" w:rsidR="00AC29DE" w:rsidRDefault="00AC29DE" w:rsidP="002507A9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5E45B4A2" w14:textId="77777777" w:rsidR="00AC29DE" w:rsidRPr="0018084C" w:rsidRDefault="00AC29DE" w:rsidP="002507A9"/>
    <w:p w14:paraId="5E45B4A3" w14:textId="06509576" w:rsidR="00AC29DE" w:rsidRPr="0018084C" w:rsidRDefault="00AE26DA" w:rsidP="008953E3">
      <w:pPr>
        <w:ind w:left="720"/>
      </w:pPr>
      <w:r>
        <w:t>E</w:t>
      </w:r>
      <w:r w:rsidR="00B07E1D">
        <w:t xml:space="preserve">quipment usage for in-state emergency response incidents are governed by </w:t>
      </w:r>
      <w:r w:rsidR="00276F3B">
        <w:t>The Texas A&amp;M System (</w:t>
      </w:r>
      <w:r w:rsidR="00DC3B95">
        <w:t>A&amp;M System</w:t>
      </w:r>
      <w:r w:rsidR="00276F3B">
        <w:t>)</w:t>
      </w:r>
      <w:r w:rsidR="00DC3B95">
        <w:t xml:space="preserve"> </w:t>
      </w:r>
      <w:r w:rsidR="00B07E1D">
        <w:t>policies</w:t>
      </w:r>
      <w:r w:rsidR="00DC3B95">
        <w:t xml:space="preserve"> and</w:t>
      </w:r>
      <w:r w:rsidR="00B07E1D">
        <w:t xml:space="preserve"> regulations, </w:t>
      </w:r>
      <w:r w:rsidR="00276F3B">
        <w:t xml:space="preserve">Texas A&amp;M Forest Service </w:t>
      </w:r>
      <w:r w:rsidR="00B07E1D">
        <w:t>rules and procedures</w:t>
      </w:r>
      <w:r w:rsidR="00DC3B95">
        <w:t xml:space="preserve">, </w:t>
      </w:r>
      <w:r w:rsidR="0067334D">
        <w:t xml:space="preserve">and the </w:t>
      </w:r>
      <w:hyperlink r:id="rId8" w:history="1">
        <w:r w:rsidR="0067334D" w:rsidRPr="008F61E2">
          <w:rPr>
            <w:rStyle w:val="Hyperlink"/>
          </w:rPr>
          <w:t xml:space="preserve">Southern </w:t>
        </w:r>
        <w:r w:rsidR="008F61E2" w:rsidRPr="008F61E2">
          <w:rPr>
            <w:rStyle w:val="Hyperlink"/>
          </w:rPr>
          <w:t xml:space="preserve">Area </w:t>
        </w:r>
        <w:r w:rsidR="004C5EB5" w:rsidRPr="008F61E2">
          <w:rPr>
            <w:rStyle w:val="Hyperlink"/>
          </w:rPr>
          <w:t xml:space="preserve">Mobilization </w:t>
        </w:r>
        <w:r w:rsidR="008F61E2">
          <w:rPr>
            <w:rStyle w:val="Hyperlink"/>
          </w:rPr>
          <w:t xml:space="preserve">Center </w:t>
        </w:r>
        <w:r w:rsidR="004C5EB5" w:rsidRPr="008F61E2">
          <w:rPr>
            <w:rStyle w:val="Hyperlink"/>
          </w:rPr>
          <w:t>Guide</w:t>
        </w:r>
      </w:hyperlink>
      <w:r w:rsidR="004C5EB5">
        <w:t xml:space="preserve"> issued by the Southern Area Coordination Center (SACC).</w:t>
      </w:r>
      <w:r w:rsidR="00B07E1D">
        <w:t xml:space="preserve"> </w:t>
      </w:r>
    </w:p>
    <w:p w14:paraId="5E45B4A4" w14:textId="77777777" w:rsidR="00AC29DE" w:rsidRPr="0018084C" w:rsidRDefault="00AC29DE" w:rsidP="002507A9"/>
    <w:p w14:paraId="5E45B4A5" w14:textId="77777777" w:rsidR="00AC29DE" w:rsidRDefault="00AC29DE" w:rsidP="002507A9">
      <w:pPr>
        <w:ind w:left="720" w:hanging="720"/>
      </w:pPr>
      <w:r>
        <w:t>2.</w:t>
      </w:r>
      <w:r>
        <w:tab/>
      </w:r>
      <w:r>
        <w:rPr>
          <w:u w:val="single"/>
        </w:rPr>
        <w:t>PURPOSE</w:t>
      </w:r>
    </w:p>
    <w:p w14:paraId="5E45B4A6" w14:textId="77777777" w:rsidR="00AC29DE" w:rsidRDefault="00AC29DE" w:rsidP="002507A9">
      <w:pPr>
        <w:ind w:left="720" w:hanging="720"/>
      </w:pPr>
    </w:p>
    <w:p w14:paraId="5E45B4A7" w14:textId="7DE8BB0C" w:rsidR="004B1013" w:rsidRDefault="004B1013" w:rsidP="008953E3">
      <w:pPr>
        <w:suppressAutoHyphens/>
        <w:ind w:left="720"/>
      </w:pPr>
      <w:r>
        <w:t xml:space="preserve">The purpose of these procedures is to use and maintain </w:t>
      </w:r>
      <w:r w:rsidR="002507A9">
        <w:t xml:space="preserve">agency </w:t>
      </w:r>
      <w:r>
        <w:t>equipment</w:t>
      </w:r>
      <w:r w:rsidR="00AE26DA">
        <w:t xml:space="preserve"> properly</w:t>
      </w:r>
      <w:r>
        <w:t xml:space="preserve"> during emergency response operations and to </w:t>
      </w:r>
      <w:r w:rsidR="002507A9">
        <w:t xml:space="preserve">ensure </w:t>
      </w:r>
      <w:r>
        <w:t>appropriate recordkeeping is maintained to meet state and federal audit requirements.</w:t>
      </w:r>
    </w:p>
    <w:p w14:paraId="5E45B4A8" w14:textId="77777777" w:rsidR="00AC29DE" w:rsidRDefault="00AC29DE" w:rsidP="002507A9">
      <w:pPr>
        <w:ind w:left="720" w:hanging="720"/>
      </w:pPr>
    </w:p>
    <w:p w14:paraId="5E45B4A9" w14:textId="77777777" w:rsidR="00AC29DE" w:rsidRDefault="00AC29DE" w:rsidP="002507A9">
      <w:pPr>
        <w:ind w:left="720" w:hanging="720"/>
        <w:rPr>
          <w:u w:val="single"/>
        </w:rPr>
      </w:pPr>
      <w:r>
        <w:t>3.</w:t>
      </w:r>
      <w:r>
        <w:tab/>
      </w:r>
      <w:r w:rsidR="0031050D">
        <w:rPr>
          <w:u w:val="single"/>
        </w:rPr>
        <w:t>FUEL</w:t>
      </w:r>
    </w:p>
    <w:p w14:paraId="5E45B4AA" w14:textId="77777777" w:rsidR="0031050D" w:rsidRDefault="0031050D" w:rsidP="002507A9">
      <w:pPr>
        <w:ind w:left="720" w:hanging="720"/>
      </w:pPr>
    </w:p>
    <w:p w14:paraId="5E45B4AB" w14:textId="5335A4D6" w:rsidR="00F40553" w:rsidRDefault="00221A61" w:rsidP="008953E3">
      <w:pPr>
        <w:ind w:left="1440" w:hanging="720"/>
      </w:pPr>
      <w:r>
        <w:t>3.1</w:t>
      </w:r>
      <w:r>
        <w:tab/>
      </w:r>
      <w:r w:rsidR="002507A9">
        <w:t>Agency</w:t>
      </w:r>
      <w:r w:rsidR="002507A9" w:rsidRPr="00F40553">
        <w:t xml:space="preserve"> </w:t>
      </w:r>
      <w:r w:rsidR="00F40553" w:rsidRPr="00F40553">
        <w:t xml:space="preserve">resources involved in wildfire response in their home branch/region will follow standard </w:t>
      </w:r>
      <w:r w:rsidR="00F40553">
        <w:t>agency procedures for the purchase of fuel and will expense fuel costs to their home unit or branch accounts.</w:t>
      </w:r>
    </w:p>
    <w:p w14:paraId="5E45B4AC" w14:textId="77777777" w:rsidR="00F40553" w:rsidRDefault="00F40553" w:rsidP="008953E3">
      <w:pPr>
        <w:ind w:left="720"/>
      </w:pPr>
    </w:p>
    <w:p w14:paraId="5E45B4AD" w14:textId="74260C71" w:rsidR="00F40553" w:rsidRDefault="00221A61" w:rsidP="008953E3">
      <w:pPr>
        <w:ind w:left="1440" w:hanging="720"/>
      </w:pPr>
      <w:r>
        <w:t>3.2</w:t>
      </w:r>
      <w:r>
        <w:tab/>
      </w:r>
      <w:r w:rsidR="002507A9">
        <w:t xml:space="preserve">Agency </w:t>
      </w:r>
      <w:r w:rsidR="00F40553">
        <w:t xml:space="preserve">resources operating out-of-region on wildfires or non-wildfire incidents in Texas will follow standard agency procedures for the purchase of fuel and will be provided an out-of-region </w:t>
      </w:r>
      <w:r w:rsidR="00DB579A">
        <w:t xml:space="preserve">or all-hazard </w:t>
      </w:r>
      <w:r w:rsidR="00F40553">
        <w:t>account number to expense fuel costs.  Out-of-region resources will need to be officially mobilized by the agency and provided a resource order number to access the out-of-region account.</w:t>
      </w:r>
    </w:p>
    <w:p w14:paraId="5E45B4AE" w14:textId="77777777" w:rsidR="00F40553" w:rsidRDefault="00F40553" w:rsidP="008953E3">
      <w:pPr>
        <w:ind w:left="720"/>
      </w:pPr>
    </w:p>
    <w:p w14:paraId="5E45B4AF" w14:textId="1051905A" w:rsidR="009E2994" w:rsidRDefault="00221A61" w:rsidP="008953E3">
      <w:pPr>
        <w:ind w:left="1440" w:hanging="720"/>
      </w:pPr>
      <w:r>
        <w:t>3.3</w:t>
      </w:r>
      <w:r>
        <w:tab/>
      </w:r>
      <w:r w:rsidR="00F40553">
        <w:t xml:space="preserve">For </w:t>
      </w:r>
      <w:r w:rsidR="008F61E2">
        <w:t>FEMA-declared incidents</w:t>
      </w:r>
      <w:r w:rsidR="00F40553">
        <w:t xml:space="preserve"> (wildfire or non-wildfire/all-hazard)</w:t>
      </w:r>
      <w:r w:rsidR="008F61E2">
        <w:t>,</w:t>
      </w:r>
      <w:r w:rsidR="00F40553">
        <w:t xml:space="preserve"> </w:t>
      </w:r>
      <w:r w:rsidR="008953E3">
        <w:t>a</w:t>
      </w:r>
      <w:r w:rsidR="002507A9">
        <w:t xml:space="preserve">gency </w:t>
      </w:r>
      <w:r w:rsidR="00F40553">
        <w:t xml:space="preserve">resources will follow </w:t>
      </w:r>
      <w:r w:rsidR="002507A9">
        <w:t xml:space="preserve">agency </w:t>
      </w:r>
      <w:r w:rsidR="00F40553">
        <w:t xml:space="preserve">procedures for the purchase and use of </w:t>
      </w:r>
      <w:r w:rsidR="009E2994">
        <w:t>fuel</w:t>
      </w:r>
      <w:r w:rsidR="00A14E43">
        <w:t>,</w:t>
      </w:r>
      <w:r w:rsidR="009E2994">
        <w:t xml:space="preserve"> </w:t>
      </w:r>
      <w:r w:rsidR="00F40553">
        <w:t xml:space="preserve">as referenced in the Southern Area Mobilization </w:t>
      </w:r>
      <w:r w:rsidR="008F61E2">
        <w:t xml:space="preserve">Center </w:t>
      </w:r>
      <w:r w:rsidR="00F40553">
        <w:t xml:space="preserve">Guide.  </w:t>
      </w:r>
      <w:r w:rsidR="002507A9">
        <w:t xml:space="preserve">The agency </w:t>
      </w:r>
      <w:r w:rsidR="0031050D" w:rsidRPr="0031050D">
        <w:t xml:space="preserve">lists its available equipment in the </w:t>
      </w:r>
      <w:r w:rsidR="00FC08D3">
        <w:t>g</w:t>
      </w:r>
      <w:r w:rsidR="0031050D" w:rsidRPr="0031050D">
        <w:t xml:space="preserve">uide as receiving a “wet” rate.  This means that </w:t>
      </w:r>
      <w:r w:rsidR="00B07E1D">
        <w:t xml:space="preserve">a flat </w:t>
      </w:r>
      <w:r w:rsidR="0031050D" w:rsidRPr="0031050D">
        <w:t xml:space="preserve">fee </w:t>
      </w:r>
      <w:r w:rsidR="00B07E1D">
        <w:t xml:space="preserve">is charged </w:t>
      </w:r>
      <w:r w:rsidR="0031050D" w:rsidRPr="0031050D">
        <w:t xml:space="preserve">for equipment </w:t>
      </w:r>
      <w:r w:rsidR="00B07E1D">
        <w:t>type and kind</w:t>
      </w:r>
      <w:r w:rsidR="0031050D" w:rsidRPr="0031050D">
        <w:t xml:space="preserve"> per day</w:t>
      </w:r>
      <w:r w:rsidR="00B07E1D">
        <w:t>,</w:t>
      </w:r>
      <w:r w:rsidR="0031050D" w:rsidRPr="0031050D">
        <w:t xml:space="preserve"> and </w:t>
      </w:r>
      <w:r w:rsidR="008953E3">
        <w:t>the agency</w:t>
      </w:r>
      <w:r w:rsidR="002507A9" w:rsidRPr="0031050D">
        <w:t xml:space="preserve"> </w:t>
      </w:r>
      <w:r w:rsidR="0031050D" w:rsidRPr="0031050D">
        <w:t xml:space="preserve">supplies the fuel. </w:t>
      </w:r>
      <w:r w:rsidR="004B1013">
        <w:t xml:space="preserve"> </w:t>
      </w:r>
      <w:r w:rsidR="00F40553">
        <w:t>Assigned resources will</w:t>
      </w:r>
      <w:r w:rsidR="00A14E43">
        <w:t xml:space="preserve"> be</w:t>
      </w:r>
      <w:r w:rsidR="00F40553">
        <w:t xml:space="preserve"> provide</w:t>
      </w:r>
      <w:r w:rsidR="00A14E43">
        <w:t>d</w:t>
      </w:r>
      <w:r w:rsidR="00F40553">
        <w:t xml:space="preserve"> an incident number and resource order</w:t>
      </w:r>
      <w:r w:rsidR="00FC08D3">
        <w:t xml:space="preserve"> number</w:t>
      </w:r>
      <w:r w:rsidR="00F40553">
        <w:t xml:space="preserve"> </w:t>
      </w:r>
      <w:r w:rsidR="00A14E43">
        <w:t>by TICC</w:t>
      </w:r>
      <w:r w:rsidR="00C11D63">
        <w:t>,</w:t>
      </w:r>
      <w:r w:rsidR="00A14E43">
        <w:t xml:space="preserve"> </w:t>
      </w:r>
      <w:r w:rsidR="00F40553">
        <w:t xml:space="preserve">for tracking purposes.  </w:t>
      </w:r>
      <w:r w:rsidR="002507A9">
        <w:t xml:space="preserve">Agency </w:t>
      </w:r>
      <w:r w:rsidR="00F40553">
        <w:t>resources need to track equipment hours as well as mileage based on the equipment type and FEMA reimbursement standard.</w:t>
      </w:r>
    </w:p>
    <w:p w14:paraId="5E45B4B0" w14:textId="77777777" w:rsidR="009E2994" w:rsidRDefault="009E2994" w:rsidP="008953E3">
      <w:pPr>
        <w:ind w:left="720"/>
      </w:pPr>
    </w:p>
    <w:p w14:paraId="5E45B4B1" w14:textId="29B570B9" w:rsidR="0031050D" w:rsidRPr="0031050D" w:rsidRDefault="00221A61" w:rsidP="008953E3">
      <w:pPr>
        <w:ind w:left="1440" w:hanging="720"/>
      </w:pPr>
      <w:r>
        <w:t>3.4</w:t>
      </w:r>
      <w:r>
        <w:tab/>
      </w:r>
      <w:r w:rsidR="00F40553">
        <w:t>All f</w:t>
      </w:r>
      <w:r w:rsidR="004C5EB5">
        <w:t xml:space="preserve">uel </w:t>
      </w:r>
      <w:r w:rsidR="0031050D" w:rsidRPr="0031050D">
        <w:t>should be purchased with a</w:t>
      </w:r>
      <w:r w:rsidR="002507A9">
        <w:t>n</w:t>
      </w:r>
      <w:r w:rsidR="0031050D" w:rsidRPr="0031050D">
        <w:t xml:space="preserve"> </w:t>
      </w:r>
      <w:r w:rsidR="002507A9">
        <w:t xml:space="preserve">agency </w:t>
      </w:r>
      <w:r w:rsidR="00B07E1D">
        <w:t>issued fuel card</w:t>
      </w:r>
      <w:r w:rsidR="0031050D" w:rsidRPr="0031050D">
        <w:t xml:space="preserve">.  </w:t>
      </w:r>
      <w:r w:rsidR="004C5EB5">
        <w:t>Prior to fueling the equipment, v</w:t>
      </w:r>
      <w:r w:rsidR="0035513C" w:rsidRPr="0031050D">
        <w:t xml:space="preserve">erify </w:t>
      </w:r>
      <w:r w:rsidR="004C5EB5">
        <w:t xml:space="preserve">the </w:t>
      </w:r>
      <w:r w:rsidR="0035513C" w:rsidRPr="0031050D">
        <w:t>card works at the station</w:t>
      </w:r>
      <w:r w:rsidR="0031050D" w:rsidRPr="0031050D">
        <w:t xml:space="preserve">.  If the </w:t>
      </w:r>
      <w:r w:rsidR="00B07E1D">
        <w:t>fuel</w:t>
      </w:r>
      <w:r w:rsidR="0031050D" w:rsidRPr="0031050D">
        <w:t xml:space="preserve"> card does not work and circumstances prevent you from going to another station, then use your emergency response credit card.  </w:t>
      </w:r>
      <w:r w:rsidR="004C5EB5">
        <w:t>Whichever</w:t>
      </w:r>
      <w:r w:rsidR="0031050D" w:rsidRPr="0031050D">
        <w:t xml:space="preserve"> method of payment, the fuel charges </w:t>
      </w:r>
      <w:r w:rsidR="00F40553">
        <w:t xml:space="preserve">(outside of home unit operations) </w:t>
      </w:r>
      <w:r w:rsidR="0031050D" w:rsidRPr="0031050D">
        <w:t xml:space="preserve">will be charged to the incident </w:t>
      </w:r>
      <w:r>
        <w:t>account</w:t>
      </w:r>
      <w:r w:rsidR="0031050D" w:rsidRPr="0031050D">
        <w:t>.</w:t>
      </w:r>
    </w:p>
    <w:p w14:paraId="5E45B4B2" w14:textId="77777777" w:rsidR="0031050D" w:rsidRPr="0031050D" w:rsidRDefault="0031050D" w:rsidP="008953E3">
      <w:pPr>
        <w:ind w:left="720" w:hanging="720"/>
      </w:pPr>
    </w:p>
    <w:p w14:paraId="5E45B4B3" w14:textId="77777777" w:rsidR="00AC29DE" w:rsidRDefault="00AC29DE" w:rsidP="002507A9">
      <w:pPr>
        <w:pStyle w:val="BodyTextInden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31050D">
        <w:rPr>
          <w:szCs w:val="24"/>
          <w:u w:val="single"/>
        </w:rPr>
        <w:t>EQUIPMENT MAINTENANCE</w:t>
      </w:r>
    </w:p>
    <w:p w14:paraId="5E45B4B4" w14:textId="77777777" w:rsidR="00AC29DE" w:rsidRDefault="00AC29DE" w:rsidP="002507A9">
      <w:pPr>
        <w:pStyle w:val="BodyTextIndent"/>
        <w:rPr>
          <w:szCs w:val="24"/>
        </w:rPr>
      </w:pPr>
    </w:p>
    <w:p w14:paraId="5E45B4B5" w14:textId="43DF50EB" w:rsidR="009E2994" w:rsidRDefault="00221A61" w:rsidP="008953E3">
      <w:pPr>
        <w:tabs>
          <w:tab w:val="left" w:pos="720"/>
        </w:tabs>
        <w:ind w:left="1440" w:hanging="1440"/>
      </w:pPr>
      <w:r>
        <w:tab/>
        <w:t>4.1</w:t>
      </w:r>
      <w:r>
        <w:tab/>
      </w:r>
      <w:r w:rsidR="002507A9">
        <w:t>Agency</w:t>
      </w:r>
      <w:r w:rsidR="002507A9" w:rsidRPr="00F40553">
        <w:t xml:space="preserve"> </w:t>
      </w:r>
      <w:r w:rsidR="00F40553" w:rsidRPr="00F40553">
        <w:t xml:space="preserve">resources involved in wildfire response in their home region will follow standard </w:t>
      </w:r>
      <w:r w:rsidR="00F40553">
        <w:t xml:space="preserve">agency procedures for </w:t>
      </w:r>
      <w:r w:rsidR="009E2994">
        <w:t>equipment maintenance a</w:t>
      </w:r>
      <w:r w:rsidR="00F40553">
        <w:t xml:space="preserve">nd will expense costs to their home unit or </w:t>
      </w:r>
      <w:r w:rsidR="002507A9">
        <w:t xml:space="preserve">region </w:t>
      </w:r>
      <w:r w:rsidR="00F40553">
        <w:t>accounts.</w:t>
      </w:r>
    </w:p>
    <w:p w14:paraId="5E45B4B6" w14:textId="77777777" w:rsidR="009E2994" w:rsidRDefault="009E2994" w:rsidP="008953E3">
      <w:pPr>
        <w:ind w:left="720" w:hanging="720"/>
      </w:pPr>
    </w:p>
    <w:p w14:paraId="5E45B4B7" w14:textId="155FD90E" w:rsidR="00FC08D3" w:rsidRDefault="00221A61" w:rsidP="008953E3">
      <w:pPr>
        <w:ind w:left="1440" w:hanging="720"/>
      </w:pPr>
      <w:r>
        <w:t>4.2</w:t>
      </w:r>
      <w:r>
        <w:tab/>
      </w:r>
      <w:r w:rsidR="00FC08D3">
        <w:t>For out-of-region wildfire response, all-hazard incidents or FEMA-declared incidents, t</w:t>
      </w:r>
      <w:r w:rsidR="009E2994">
        <w:t>he i</w:t>
      </w:r>
      <w:r w:rsidR="00F13E8A">
        <w:t>ncident</w:t>
      </w:r>
      <w:r w:rsidR="0031050D" w:rsidRPr="0031050D">
        <w:t xml:space="preserve"> </w:t>
      </w:r>
      <w:r w:rsidR="009E2994">
        <w:t>is</w:t>
      </w:r>
      <w:r w:rsidR="0031050D" w:rsidRPr="0031050D">
        <w:t xml:space="preserve"> not responsible for normal wear and tear or routine preventive maintenance of equipment</w:t>
      </w:r>
      <w:r w:rsidR="002507A9">
        <w:t>;</w:t>
      </w:r>
      <w:r w:rsidR="00FC08D3" w:rsidRPr="00FC08D3">
        <w:t xml:space="preserve"> </w:t>
      </w:r>
      <w:r w:rsidR="002507A9">
        <w:t>however</w:t>
      </w:r>
      <w:r w:rsidR="00F13E8A">
        <w:t xml:space="preserve">, if </w:t>
      </w:r>
      <w:r w:rsidR="0031050D" w:rsidRPr="0031050D">
        <w:t xml:space="preserve">a unit </w:t>
      </w:r>
      <w:r w:rsidR="00F13E8A">
        <w:t>is</w:t>
      </w:r>
      <w:r w:rsidR="0031050D" w:rsidRPr="0031050D">
        <w:t xml:space="preserve"> assigned to an incident for an entire preventive maintenance schedule, then maintenance can be charged to the incident. </w:t>
      </w:r>
      <w:r w:rsidR="002507A9">
        <w:t xml:space="preserve"> </w:t>
      </w:r>
      <w:r w:rsidR="00FC08D3">
        <w:t xml:space="preserve">For </w:t>
      </w:r>
      <w:r w:rsidR="0031050D" w:rsidRPr="0031050D">
        <w:t>example, the replacement schedule for filters used in the environmental cabs on dozers states the filters be changed every eight to ten hours.  Thi</w:t>
      </w:r>
      <w:r w:rsidR="00F13E8A">
        <w:t>s filter replacement cost (</w:t>
      </w:r>
      <w:r w:rsidR="0031050D" w:rsidRPr="0031050D">
        <w:t xml:space="preserve">even though </w:t>
      </w:r>
      <w:r w:rsidR="00F13E8A">
        <w:t xml:space="preserve">considered routine maintenance) </w:t>
      </w:r>
      <w:r w:rsidR="004203B3">
        <w:t>would</w:t>
      </w:r>
      <w:r w:rsidR="004203B3" w:rsidRPr="0031050D">
        <w:t xml:space="preserve"> </w:t>
      </w:r>
      <w:r w:rsidR="0031050D" w:rsidRPr="0031050D">
        <w:t xml:space="preserve">be charged to the incident since the entire maintenance schedule occurred during </w:t>
      </w:r>
      <w:r w:rsidR="00F13E8A">
        <w:t xml:space="preserve">the </w:t>
      </w:r>
      <w:r w:rsidR="0031050D" w:rsidRPr="0031050D">
        <w:t>incident assignment.</w:t>
      </w:r>
    </w:p>
    <w:p w14:paraId="5E45B4B8" w14:textId="77777777" w:rsidR="00FC08D3" w:rsidRDefault="00FC08D3" w:rsidP="008953E3">
      <w:pPr>
        <w:ind w:left="720"/>
      </w:pPr>
    </w:p>
    <w:p w14:paraId="5E45B4B9" w14:textId="14CADCC8" w:rsidR="00FC08D3" w:rsidRDefault="00221A61" w:rsidP="008953E3">
      <w:pPr>
        <w:ind w:left="1440" w:hanging="720"/>
      </w:pPr>
      <w:r>
        <w:t>4.3</w:t>
      </w:r>
      <w:r>
        <w:tab/>
        <w:t>Replacement cost for w</w:t>
      </w:r>
      <w:r w:rsidR="0031050D" w:rsidRPr="0031050D">
        <w:t>orn tires ca</w:t>
      </w:r>
      <w:r w:rsidR="0067334D">
        <w:t>nnot be charged to the incident.  O</w:t>
      </w:r>
      <w:r w:rsidR="0031050D" w:rsidRPr="0031050D">
        <w:t>nly repair</w:t>
      </w:r>
      <w:r>
        <w:t xml:space="preserve"> costs for </w:t>
      </w:r>
      <w:r w:rsidR="0031050D" w:rsidRPr="0031050D">
        <w:t xml:space="preserve">tires damaged </w:t>
      </w:r>
      <w:r w:rsidR="0067334D">
        <w:t>during</w:t>
      </w:r>
      <w:r w:rsidR="0031050D" w:rsidRPr="0031050D">
        <w:t xml:space="preserve"> the incident can be charged to the incident.  If the damage is non-repairable, then the</w:t>
      </w:r>
      <w:r>
        <w:t xml:space="preserve"> cost of the </w:t>
      </w:r>
      <w:r w:rsidR="0031050D" w:rsidRPr="0031050D">
        <w:t>replacement tire can be charged to the incident.</w:t>
      </w:r>
    </w:p>
    <w:p w14:paraId="5E45B4BA" w14:textId="77777777" w:rsidR="00FC08D3" w:rsidRDefault="00FC08D3" w:rsidP="008953E3">
      <w:pPr>
        <w:ind w:left="720"/>
      </w:pPr>
    </w:p>
    <w:p w14:paraId="5E45B4BB" w14:textId="77777777" w:rsidR="0031050D" w:rsidRPr="0031050D" w:rsidRDefault="00221A61" w:rsidP="008953E3">
      <w:pPr>
        <w:ind w:left="1440" w:hanging="720"/>
      </w:pPr>
      <w:r>
        <w:t>4.4</w:t>
      </w:r>
      <w:r>
        <w:tab/>
      </w:r>
      <w:r w:rsidR="009E2994">
        <w:t>Requests for incident</w:t>
      </w:r>
      <w:r w:rsidR="004203B3">
        <w:t xml:space="preserve"> </w:t>
      </w:r>
      <w:r w:rsidR="009E2994">
        <w:t>reimbursement of equipment maintenance costs need to be d</w:t>
      </w:r>
      <w:r w:rsidR="0003214C">
        <w:t>ocumented and approved (with an</w:t>
      </w:r>
      <w:r w:rsidR="009E2994">
        <w:t xml:space="preserve"> S# provided) before demob</w:t>
      </w:r>
      <w:r w:rsidR="0003214C">
        <w:t>ilization</w:t>
      </w:r>
      <w:r w:rsidR="009E2994">
        <w:t xml:space="preserve"> from the incident.  Requests should be submitted to incident logistics and finance for review and approval/denial.</w:t>
      </w:r>
    </w:p>
    <w:p w14:paraId="5E45B4BC" w14:textId="77777777" w:rsidR="00AC29DE" w:rsidRDefault="00AC29DE" w:rsidP="002507A9">
      <w:pPr>
        <w:pStyle w:val="BodyTextIndent"/>
        <w:rPr>
          <w:szCs w:val="24"/>
        </w:rPr>
      </w:pPr>
    </w:p>
    <w:p w14:paraId="5E45B4BD" w14:textId="77777777" w:rsidR="0031050D" w:rsidRPr="00E24D94" w:rsidRDefault="00AC29DE" w:rsidP="008953E3">
      <w:pPr>
        <w:rPr>
          <w:rFonts w:ascii="Arial" w:hAnsi="Arial" w:cs="Arial"/>
          <w:b/>
          <w:u w:val="single"/>
        </w:rPr>
      </w:pPr>
      <w:r>
        <w:t>5.</w:t>
      </w:r>
      <w:r>
        <w:tab/>
      </w:r>
      <w:r w:rsidR="0031050D" w:rsidRPr="0031050D">
        <w:rPr>
          <w:u w:val="single"/>
        </w:rPr>
        <w:t>EQUIPMENT REPAIRS</w:t>
      </w:r>
    </w:p>
    <w:p w14:paraId="5E45B4BE" w14:textId="77777777" w:rsidR="00AC29DE" w:rsidRDefault="00AC29DE" w:rsidP="002507A9"/>
    <w:p w14:paraId="5E45B4BF" w14:textId="2901D2D4" w:rsidR="009E2994" w:rsidRDefault="00AC29DE" w:rsidP="008953E3">
      <w:pPr>
        <w:tabs>
          <w:tab w:val="left" w:pos="720"/>
        </w:tabs>
        <w:ind w:left="1440" w:hanging="1440"/>
      </w:pPr>
      <w:r>
        <w:tab/>
      </w:r>
      <w:r w:rsidR="00221A61">
        <w:t>5.1</w:t>
      </w:r>
      <w:r w:rsidR="00221A61">
        <w:tab/>
      </w:r>
      <w:r w:rsidR="002507A9">
        <w:t>Agency</w:t>
      </w:r>
      <w:r w:rsidR="002507A9" w:rsidRPr="00F40553">
        <w:t xml:space="preserve"> </w:t>
      </w:r>
      <w:r w:rsidR="009E2994" w:rsidRPr="00F40553">
        <w:t xml:space="preserve">resources involved in wildfire response in their home region will follow standard </w:t>
      </w:r>
      <w:r w:rsidR="009E2994">
        <w:t xml:space="preserve">agency procedures for equipment repair and will expense costs to their home unit or </w:t>
      </w:r>
      <w:r w:rsidR="002507A9">
        <w:t xml:space="preserve">region </w:t>
      </w:r>
      <w:r w:rsidR="009E2994">
        <w:t xml:space="preserve">accounts.  For large/significant repair costs, </w:t>
      </w:r>
      <w:r w:rsidR="002507A9">
        <w:t xml:space="preserve">agency </w:t>
      </w:r>
      <w:r w:rsidR="00733F66">
        <w:t>offices can request repair funds through their</w:t>
      </w:r>
      <w:r w:rsidR="00221A61">
        <w:t xml:space="preserve"> department head</w:t>
      </w:r>
      <w:r w:rsidR="00733F66">
        <w:t xml:space="preserve">. </w:t>
      </w:r>
    </w:p>
    <w:p w14:paraId="5E45B4C0" w14:textId="77777777" w:rsidR="009E2994" w:rsidRDefault="009E2994" w:rsidP="008953E3">
      <w:pPr>
        <w:ind w:left="720" w:hanging="720"/>
      </w:pPr>
    </w:p>
    <w:p w14:paraId="5E45B4C1" w14:textId="4F9D0A45" w:rsidR="00633516" w:rsidRDefault="00221A61" w:rsidP="008953E3">
      <w:pPr>
        <w:ind w:left="1440" w:hanging="720"/>
      </w:pPr>
      <w:r>
        <w:t>5.2</w:t>
      </w:r>
      <w:r>
        <w:tab/>
      </w:r>
      <w:r w:rsidR="004203B3">
        <w:t>D</w:t>
      </w:r>
      <w:r w:rsidR="00DB579A" w:rsidRPr="00DB579A">
        <w:t xml:space="preserve">amage to equipment directly related to an incident </w:t>
      </w:r>
      <w:r w:rsidR="004203B3">
        <w:t>can</w:t>
      </w:r>
      <w:r w:rsidR="00DB579A" w:rsidRPr="00DB579A">
        <w:t xml:space="preserve"> be charged to the incident</w:t>
      </w:r>
      <w:r w:rsidR="004203B3" w:rsidRPr="004203B3">
        <w:t xml:space="preserve"> </w:t>
      </w:r>
      <w:r w:rsidR="004203B3">
        <w:t>f</w:t>
      </w:r>
      <w:r w:rsidR="004203B3" w:rsidRPr="00DB579A">
        <w:t>or out-of-region wildfire response, all-hazard incidents or FEMA</w:t>
      </w:r>
      <w:r w:rsidR="004203B3">
        <w:t>-</w:t>
      </w:r>
      <w:r w:rsidR="004203B3" w:rsidRPr="00DB579A">
        <w:t>declared incidents</w:t>
      </w:r>
      <w:r w:rsidR="00DB579A">
        <w:t xml:space="preserve">.  </w:t>
      </w:r>
      <w:r w:rsidR="004203B3">
        <w:t>I</w:t>
      </w:r>
      <w:r w:rsidR="0031050D" w:rsidRPr="0031050D">
        <w:t xml:space="preserve">t is </w:t>
      </w:r>
      <w:r w:rsidR="004203B3">
        <w:t>important</w:t>
      </w:r>
      <w:r w:rsidR="004203B3" w:rsidRPr="0031050D">
        <w:t xml:space="preserve"> </w:t>
      </w:r>
      <w:r w:rsidR="0031050D" w:rsidRPr="0031050D">
        <w:t xml:space="preserve">that the condition of the equipment </w:t>
      </w:r>
      <w:r w:rsidR="00733F66">
        <w:t xml:space="preserve">coming from out-of-region and out-of-state </w:t>
      </w:r>
      <w:r w:rsidR="0031050D" w:rsidRPr="0031050D">
        <w:t xml:space="preserve">be </w:t>
      </w:r>
      <w:r w:rsidR="00733F66">
        <w:t xml:space="preserve">inspected </w:t>
      </w:r>
      <w:r w:rsidR="0031050D" w:rsidRPr="0031050D">
        <w:t>upon arrival using the approved equipment check</w:t>
      </w:r>
      <w:r w:rsidR="004203B3">
        <w:t>-</w:t>
      </w:r>
      <w:r w:rsidR="0031050D" w:rsidRPr="0031050D">
        <w:t>in procedures</w:t>
      </w:r>
      <w:r w:rsidR="004203B3">
        <w:t xml:space="preserve"> t</w:t>
      </w:r>
      <w:r w:rsidR="004203B3" w:rsidRPr="0031050D">
        <w:t xml:space="preserve">o </w:t>
      </w:r>
      <w:r w:rsidR="002507A9">
        <w:t>e</w:t>
      </w:r>
      <w:r w:rsidR="002507A9" w:rsidRPr="0031050D">
        <w:t xml:space="preserve">nsure </w:t>
      </w:r>
      <w:r w:rsidR="004203B3" w:rsidRPr="0031050D">
        <w:t xml:space="preserve">only eligible equipment </w:t>
      </w:r>
      <w:r w:rsidR="004203B3">
        <w:t xml:space="preserve">repairs are </w:t>
      </w:r>
      <w:r w:rsidR="004203B3" w:rsidRPr="0031050D">
        <w:t>charged to the incident</w:t>
      </w:r>
      <w:r w:rsidR="0031050D" w:rsidRPr="0031050D">
        <w:t xml:space="preserve">.  </w:t>
      </w:r>
      <w:r w:rsidR="00DB579A">
        <w:t>Repair claims will be reviewed on a case-by-case basis and may be denied or adjusted based on specific circumstances (operating environment, crew activity, operator error, etc.)</w:t>
      </w:r>
      <w:r w:rsidR="00C64F9F">
        <w:t>. Approved repairs may be conducted during the assignment/incident.  Minor repairs, if approved, may be performed after the return to the home unit and billed to the incident.</w:t>
      </w:r>
    </w:p>
    <w:p w14:paraId="5E45B4C2" w14:textId="77777777" w:rsidR="00633516" w:rsidRDefault="00633516" w:rsidP="008953E3">
      <w:pPr>
        <w:ind w:left="720"/>
      </w:pPr>
    </w:p>
    <w:p w14:paraId="5E45B4C3" w14:textId="77777777" w:rsidR="0031050D" w:rsidRDefault="00221A61" w:rsidP="008953E3">
      <w:pPr>
        <w:ind w:left="1440" w:hanging="720"/>
      </w:pPr>
      <w:r>
        <w:t>5.3</w:t>
      </w:r>
      <w:r>
        <w:tab/>
      </w:r>
      <w:r w:rsidR="00733F66" w:rsidRPr="00733F66">
        <w:t>Requests for incident</w:t>
      </w:r>
      <w:r w:rsidR="007C1A1D">
        <w:t xml:space="preserve"> </w:t>
      </w:r>
      <w:r w:rsidR="00733F66" w:rsidRPr="00733F66">
        <w:t xml:space="preserve">reimbursement of equipment </w:t>
      </w:r>
      <w:r w:rsidR="00733F66">
        <w:t>repair</w:t>
      </w:r>
      <w:r w:rsidR="00733F66" w:rsidRPr="00733F66">
        <w:t xml:space="preserve"> costs </w:t>
      </w:r>
      <w:r w:rsidR="007C1A1D">
        <w:t>must</w:t>
      </w:r>
      <w:r w:rsidR="00733F66" w:rsidRPr="00733F66">
        <w:t xml:space="preserve"> be documented and approved</w:t>
      </w:r>
      <w:r w:rsidR="0003214C">
        <w:t xml:space="preserve"> (with an</w:t>
      </w:r>
      <w:r w:rsidR="00733F66">
        <w:t xml:space="preserve"> S# provided) before </w:t>
      </w:r>
      <w:r w:rsidR="00733F66" w:rsidRPr="00733F66">
        <w:t>demob</w:t>
      </w:r>
      <w:r w:rsidR="00733F66">
        <w:t>ilization</w:t>
      </w:r>
      <w:r w:rsidR="00733F66" w:rsidRPr="00733F66">
        <w:t xml:space="preserve"> from the incident.  Requests should be submitted to incident logistics and finance for review and approval/denial.</w:t>
      </w:r>
    </w:p>
    <w:p w14:paraId="5E45B4C4" w14:textId="77777777" w:rsidR="0031050D" w:rsidRDefault="0031050D" w:rsidP="008953E3">
      <w:pPr>
        <w:ind w:left="720" w:hanging="720"/>
      </w:pPr>
    </w:p>
    <w:p w14:paraId="5E45B4C5" w14:textId="77777777" w:rsidR="0031050D" w:rsidRPr="0031050D" w:rsidRDefault="0031050D" w:rsidP="008953E3">
      <w:pPr>
        <w:ind w:left="720" w:hanging="720"/>
      </w:pPr>
      <w:r>
        <w:t>6.</w:t>
      </w:r>
      <w:r>
        <w:tab/>
      </w:r>
      <w:r w:rsidRPr="0031050D">
        <w:rPr>
          <w:u w:val="single"/>
        </w:rPr>
        <w:t>ACCOUNTING</w:t>
      </w:r>
    </w:p>
    <w:p w14:paraId="5E45B4C6" w14:textId="77777777" w:rsidR="00AC29DE" w:rsidRDefault="00AC29DE" w:rsidP="002507A9">
      <w:pPr>
        <w:pStyle w:val="BodyTextIndent2"/>
        <w:rPr>
          <w:sz w:val="24"/>
          <w:szCs w:val="24"/>
        </w:rPr>
      </w:pPr>
    </w:p>
    <w:p w14:paraId="5E45B4C7" w14:textId="4B17AF37" w:rsidR="0031050D" w:rsidRPr="0031050D" w:rsidRDefault="002507A9" w:rsidP="008953E3">
      <w:pPr>
        <w:ind w:left="720"/>
      </w:pPr>
      <w:r>
        <w:t>The agency</w:t>
      </w:r>
      <w:r w:rsidRPr="0031050D">
        <w:t xml:space="preserve"> </w:t>
      </w:r>
      <w:r w:rsidR="0031050D" w:rsidRPr="0031050D">
        <w:t>will bill for equipment usage at the wet rate using either the FEMA Equipment Rate schedule or the Southern Area Mobilization</w:t>
      </w:r>
      <w:r w:rsidR="007C1A1D">
        <w:t xml:space="preserve"> Center</w:t>
      </w:r>
      <w:r w:rsidR="0031050D" w:rsidRPr="0031050D">
        <w:t xml:space="preserve"> Guide</w:t>
      </w:r>
      <w:r w:rsidR="007C1A1D">
        <w:t xml:space="preserve"> for</w:t>
      </w:r>
      <w:r w:rsidR="007C1A1D" w:rsidRPr="0031050D">
        <w:t xml:space="preserve"> FEMA eligible incidents</w:t>
      </w:r>
      <w:r w:rsidR="0031050D" w:rsidRPr="0031050D">
        <w:t xml:space="preserve">.  </w:t>
      </w:r>
      <w:r w:rsidR="0003214C">
        <w:t>Assigned resources will provide an incident number and resource order</w:t>
      </w:r>
      <w:r w:rsidR="007C1A1D">
        <w:t xml:space="preserve"> number</w:t>
      </w:r>
      <w:r w:rsidR="0003214C">
        <w:t xml:space="preserve"> for tracking purposes.  </w:t>
      </w:r>
      <w:r>
        <w:t xml:space="preserve">Agency </w:t>
      </w:r>
      <w:r w:rsidR="0003214C">
        <w:t xml:space="preserve">resources may need to track equipment hours as well as mileage based on the equipment type and FEMA reimbursement standard.  </w:t>
      </w:r>
      <w:r w:rsidR="004012F4">
        <w:t xml:space="preserve">Fuel and approved maintenance and repair costs should be billed to the </w:t>
      </w:r>
      <w:r w:rsidR="0031050D" w:rsidRPr="0031050D">
        <w:t>FEMA</w:t>
      </w:r>
      <w:r w:rsidR="007C1A1D">
        <w:t>-</w:t>
      </w:r>
      <w:r w:rsidR="0031050D" w:rsidRPr="0031050D">
        <w:t>incident accounts.</w:t>
      </w:r>
      <w:r>
        <w:t xml:space="preserve"> </w:t>
      </w:r>
      <w:r w:rsidR="0031050D" w:rsidRPr="0031050D">
        <w:t xml:space="preserve"> </w:t>
      </w:r>
      <w:r w:rsidR="004012F4">
        <w:t>Fuel costs will not be included in the requested FE</w:t>
      </w:r>
      <w:r w:rsidR="007C1A1D">
        <w:t>MA</w:t>
      </w:r>
      <w:r w:rsidR="004012F4">
        <w:t xml:space="preserve"> reimbursement package, but will be covered by the FEMA equipment rate reimbursement.</w:t>
      </w:r>
    </w:p>
    <w:p w14:paraId="5E45B4C8" w14:textId="77777777" w:rsidR="00AC29DE" w:rsidRDefault="00AC29DE" w:rsidP="002507A9">
      <w:pPr>
        <w:pStyle w:val="BodyTextIndent2"/>
        <w:rPr>
          <w:sz w:val="24"/>
          <w:szCs w:val="24"/>
        </w:rPr>
      </w:pPr>
    </w:p>
    <w:p w14:paraId="5E45B4C9" w14:textId="77777777" w:rsidR="00AC29DE" w:rsidRDefault="00AC29DE" w:rsidP="002507A9"/>
    <w:p w14:paraId="5E45B4CA" w14:textId="7B4931B2" w:rsidR="004012F4" w:rsidRDefault="00AC29DE" w:rsidP="00844323">
      <w:pPr>
        <w:ind w:firstLine="720"/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9" w:history="1">
        <w:r w:rsidR="008953E3" w:rsidRPr="008953E3">
          <w:rPr>
            <w:rStyle w:val="Hyperlink"/>
            <w:snapToGrid w:val="0"/>
          </w:rPr>
          <w:t xml:space="preserve">FRP </w:t>
        </w:r>
        <w:r w:rsidR="002507A9" w:rsidRPr="008953E3">
          <w:rPr>
            <w:rStyle w:val="Hyperlink"/>
          </w:rPr>
          <w:t>Business Administrator</w:t>
        </w:r>
      </w:hyperlink>
      <w:r w:rsidR="008F61E2">
        <w:t>,</w:t>
      </w:r>
      <w:r w:rsidR="00844323">
        <w:t xml:space="preserve"> </w:t>
      </w:r>
      <w:r w:rsidR="002507A9">
        <w:t>(979) 209-4293</w:t>
      </w:r>
    </w:p>
    <w:sectPr w:rsidR="004012F4" w:rsidSect="0031050D">
      <w:footerReference w:type="default" r:id="rId10"/>
      <w:pgSz w:w="12240" w:h="15840" w:code="1"/>
      <w:pgMar w:top="63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B4CF" w14:textId="77777777" w:rsidR="000E26BE" w:rsidRDefault="000E26BE">
      <w:r>
        <w:separator/>
      </w:r>
    </w:p>
  </w:endnote>
  <w:endnote w:type="continuationSeparator" w:id="0">
    <w:p w14:paraId="5E45B4D0" w14:textId="77777777" w:rsidR="000E26BE" w:rsidRDefault="000E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B4D4" w14:textId="77777777" w:rsidR="00350247" w:rsidRDefault="00350247" w:rsidP="009C2F2E">
    <w:pPr>
      <w:pStyle w:val="Footer"/>
      <w:jc w:val="center"/>
    </w:pPr>
    <w:r>
      <w:t xml:space="preserve">Page </w:t>
    </w:r>
    <w:r w:rsidR="007B7CFE">
      <w:fldChar w:fldCharType="begin"/>
    </w:r>
    <w:r w:rsidR="007B7CFE">
      <w:instrText xml:space="preserve"> PAGE </w:instrText>
    </w:r>
    <w:r w:rsidR="007B7CFE">
      <w:fldChar w:fldCharType="separate"/>
    </w:r>
    <w:r w:rsidR="00582BAC">
      <w:rPr>
        <w:noProof/>
      </w:rPr>
      <w:t>2</w:t>
    </w:r>
    <w:r w:rsidR="007B7CFE">
      <w:rPr>
        <w:noProof/>
      </w:rPr>
      <w:fldChar w:fldCharType="end"/>
    </w:r>
    <w:r>
      <w:t xml:space="preserve"> of </w:t>
    </w:r>
    <w:r w:rsidR="00E7687A">
      <w:rPr>
        <w:noProof/>
      </w:rPr>
      <w:fldChar w:fldCharType="begin"/>
    </w:r>
    <w:r w:rsidR="00E7687A">
      <w:rPr>
        <w:noProof/>
      </w:rPr>
      <w:instrText xml:space="preserve"> NUMPAGES </w:instrText>
    </w:r>
    <w:r w:rsidR="00E7687A">
      <w:rPr>
        <w:noProof/>
      </w:rPr>
      <w:fldChar w:fldCharType="separate"/>
    </w:r>
    <w:r w:rsidR="00582BAC">
      <w:rPr>
        <w:noProof/>
      </w:rPr>
      <w:t>3</w:t>
    </w:r>
    <w:r w:rsidR="00E768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B4CD" w14:textId="77777777" w:rsidR="000E26BE" w:rsidRDefault="000E26BE">
      <w:r>
        <w:separator/>
      </w:r>
    </w:p>
  </w:footnote>
  <w:footnote w:type="continuationSeparator" w:id="0">
    <w:p w14:paraId="5E45B4CE" w14:textId="77777777" w:rsidR="000E26BE" w:rsidRDefault="000E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qtz050Ls3IdDlc5pZttHaYX6VRMqZRrlxSVi1H+naYP2DRKKUexEbZtxJpwt58KQH7/SGSUKNK/Q4OtySUj2Q==" w:salt="SJI52wOZmjZdqe95EU9VW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3214C"/>
    <w:rsid w:val="000E0EE5"/>
    <w:rsid w:val="000E26BE"/>
    <w:rsid w:val="001131A9"/>
    <w:rsid w:val="001F3A90"/>
    <w:rsid w:val="00217664"/>
    <w:rsid w:val="00221A61"/>
    <w:rsid w:val="002507A9"/>
    <w:rsid w:val="00276F3B"/>
    <w:rsid w:val="002C4BD0"/>
    <w:rsid w:val="00303C0E"/>
    <w:rsid w:val="0031050D"/>
    <w:rsid w:val="00350247"/>
    <w:rsid w:val="0035513C"/>
    <w:rsid w:val="00364A06"/>
    <w:rsid w:val="003A2A50"/>
    <w:rsid w:val="004012F4"/>
    <w:rsid w:val="004203B3"/>
    <w:rsid w:val="004B1013"/>
    <w:rsid w:val="004C5EB5"/>
    <w:rsid w:val="005132B6"/>
    <w:rsid w:val="00582BAC"/>
    <w:rsid w:val="005A0087"/>
    <w:rsid w:val="005A6C24"/>
    <w:rsid w:val="005D19C0"/>
    <w:rsid w:val="0060260D"/>
    <w:rsid w:val="00633516"/>
    <w:rsid w:val="0067334D"/>
    <w:rsid w:val="0067492D"/>
    <w:rsid w:val="00733F66"/>
    <w:rsid w:val="007B7CFE"/>
    <w:rsid w:val="007C1A1D"/>
    <w:rsid w:val="00844323"/>
    <w:rsid w:val="00853B73"/>
    <w:rsid w:val="00892C33"/>
    <w:rsid w:val="008953E3"/>
    <w:rsid w:val="008C042D"/>
    <w:rsid w:val="008E1B56"/>
    <w:rsid w:val="008F61E2"/>
    <w:rsid w:val="00922224"/>
    <w:rsid w:val="0093607A"/>
    <w:rsid w:val="00946FD7"/>
    <w:rsid w:val="009C1C6E"/>
    <w:rsid w:val="009C2F2E"/>
    <w:rsid w:val="009E2994"/>
    <w:rsid w:val="00A14E43"/>
    <w:rsid w:val="00A43C89"/>
    <w:rsid w:val="00AA690E"/>
    <w:rsid w:val="00AC29DE"/>
    <w:rsid w:val="00AD4A63"/>
    <w:rsid w:val="00AE26DA"/>
    <w:rsid w:val="00B07E1D"/>
    <w:rsid w:val="00B42B33"/>
    <w:rsid w:val="00B56FB8"/>
    <w:rsid w:val="00C11D63"/>
    <w:rsid w:val="00C64F9F"/>
    <w:rsid w:val="00D074A5"/>
    <w:rsid w:val="00D11C13"/>
    <w:rsid w:val="00D23CB4"/>
    <w:rsid w:val="00DB579A"/>
    <w:rsid w:val="00DC3B95"/>
    <w:rsid w:val="00DE0487"/>
    <w:rsid w:val="00E0065C"/>
    <w:rsid w:val="00E157A0"/>
    <w:rsid w:val="00E4567D"/>
    <w:rsid w:val="00E64EC5"/>
    <w:rsid w:val="00E653E5"/>
    <w:rsid w:val="00E7687A"/>
    <w:rsid w:val="00ED17A3"/>
    <w:rsid w:val="00ED4316"/>
    <w:rsid w:val="00EE5212"/>
    <w:rsid w:val="00F13E8A"/>
    <w:rsid w:val="00F40553"/>
    <w:rsid w:val="00FC08D3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45B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132B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507A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c.nifc.gov/sacc/resources/forms/southernareamobilizationcenterguide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davenport@tfs.tamu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UEKHZ4HHEJXQ-292801454-178349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https://texasforestservice.sharepoint.com/sites/Share-AssociateDirectorsOffice-FIAD/_layouts/15/DocIdRedir.aspx?ID=UEKHZ4HHEJXQ-292801454-178349</Url>
      <Description>UEKHZ4HHEJXQ-292801454-178349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AC91E-98CB-45B0-BD14-BBE36C7B0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D30A2-846B-4F78-9059-519FD762B054}"/>
</file>

<file path=customXml/itemProps3.xml><?xml version="1.0" encoding="utf-8"?>
<ds:datastoreItem xmlns:ds="http://schemas.openxmlformats.org/officeDocument/2006/customXml" ds:itemID="{212D831C-676D-4907-A296-C36794EEAA5F}"/>
</file>

<file path=customXml/itemProps4.xml><?xml version="1.0" encoding="utf-8"?>
<ds:datastoreItem xmlns:ds="http://schemas.openxmlformats.org/officeDocument/2006/customXml" ds:itemID="{F4EFDFB5-22B1-450C-B7B5-E79D51084925}"/>
</file>

<file path=customXml/itemProps5.xml><?xml version="1.0" encoding="utf-8"?>
<ds:datastoreItem xmlns:ds="http://schemas.openxmlformats.org/officeDocument/2006/customXml" ds:itemID="{3865FDD4-1396-485A-ADBD-9DE7F14E4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Links>
    <vt:vector size="18" baseType="variant"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mailto:dstephens@tfs.tamu.edu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http://tfsfinance.tamu.edu/modules/finance/admin/rules/HUB.htm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2023-10-17T14:06:00Z</dcterms:created>
  <dcterms:modified xsi:type="dcterms:W3CDTF">2023-10-17T14:07:00Z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185000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361c4c90-5030-4deb-aed0-8122efa58d90</vt:lpwstr>
  </property>
</Properties>
</file>