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107" w:rsidRDefault="00845107" w:rsidP="00EA2E66">
      <w:pPr>
        <w:jc w:val="center"/>
      </w:pPr>
      <w:bookmarkStart w:id="0" w:name="_GoBack"/>
      <w:bookmarkEnd w:id="0"/>
      <w:r>
        <w:rPr>
          <w:noProof/>
        </w:rPr>
        <w:drawing>
          <wp:inline distT="0" distB="0" distL="0" distR="0" wp14:anchorId="6736FE45" wp14:editId="43C57A6D">
            <wp:extent cx="1828800" cy="411480"/>
            <wp:effectExtent l="0" t="0" r="0" b="7620"/>
            <wp:docPr id="1" name="Picture 1" descr="S:\Associate Director's Office\Administrative Procedures\Draft Admin Procedures\Admin Proc Tools\TFS Logo\TFS_RGB-maroon_gray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sociate Director's Office\Administrative Procedures\Draft Admin Procedures\Admin Proc Tools\TFS Logo\TFS_RGB-maroon_gray_typ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411480"/>
                    </a:xfrm>
                    <a:prstGeom prst="rect">
                      <a:avLst/>
                    </a:prstGeom>
                    <a:noFill/>
                    <a:ln>
                      <a:noFill/>
                    </a:ln>
                  </pic:spPr>
                </pic:pic>
              </a:graphicData>
            </a:graphic>
          </wp:inline>
        </w:drawing>
      </w:r>
    </w:p>
    <w:p w:rsidR="00845107" w:rsidRDefault="00845107" w:rsidP="00845107">
      <w:pPr>
        <w:jc w:val="center"/>
      </w:pPr>
    </w:p>
    <w:p w:rsidR="00845107" w:rsidRPr="00364A06" w:rsidRDefault="00845107" w:rsidP="00845107">
      <w:pPr>
        <w:jc w:val="center"/>
        <w:rPr>
          <w:b/>
        </w:rPr>
      </w:pPr>
      <w:r w:rsidRPr="00364A06">
        <w:rPr>
          <w:b/>
        </w:rPr>
        <w:t>ADMINISTRATIVE PROCEDURES</w:t>
      </w:r>
    </w:p>
    <w:p w:rsidR="00845107" w:rsidRDefault="00845107" w:rsidP="00845107">
      <w:pPr>
        <w:jc w:val="cente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803"/>
        <w:gridCol w:w="3787"/>
      </w:tblGrid>
      <w:tr w:rsidR="00845107" w:rsidRPr="00364A06" w:rsidTr="00027A2D">
        <w:tc>
          <w:tcPr>
            <w:tcW w:w="5803" w:type="dxa"/>
          </w:tcPr>
          <w:p w:rsidR="00845107" w:rsidRPr="00364A06" w:rsidRDefault="00845107" w:rsidP="00845107">
            <w:pPr>
              <w:ind w:left="624" w:hanging="624"/>
              <w:rPr>
                <w:b/>
              </w:rPr>
            </w:pPr>
            <w:r>
              <w:rPr>
                <w:b/>
              </w:rPr>
              <w:t>40.12</w:t>
            </w:r>
            <w:r w:rsidRPr="00364A06">
              <w:rPr>
                <w:b/>
              </w:rPr>
              <w:t xml:space="preserve">  </w:t>
            </w:r>
            <w:r>
              <w:rPr>
                <w:b/>
              </w:rPr>
              <w:t xml:space="preserve">Historically Underutilized Businesses </w:t>
            </w:r>
          </w:p>
        </w:tc>
        <w:tc>
          <w:tcPr>
            <w:tcW w:w="3787" w:type="dxa"/>
          </w:tcPr>
          <w:p w:rsidR="00845107" w:rsidRPr="00364A06" w:rsidRDefault="00EC4007">
            <w:pPr>
              <w:jc w:val="right"/>
              <w:rPr>
                <w:b/>
              </w:rPr>
            </w:pPr>
            <w:r>
              <w:rPr>
                <w:b/>
              </w:rPr>
              <w:t>Issued</w:t>
            </w:r>
            <w:r w:rsidR="00845107" w:rsidRPr="00364A06">
              <w:rPr>
                <w:b/>
              </w:rPr>
              <w:t xml:space="preserve">:  </w:t>
            </w:r>
            <w:r w:rsidR="00C12BDC">
              <w:rPr>
                <w:b/>
              </w:rPr>
              <w:t>March 2</w:t>
            </w:r>
            <w:r w:rsidR="001C50CA">
              <w:rPr>
                <w:b/>
              </w:rPr>
              <w:t>7</w:t>
            </w:r>
            <w:r w:rsidR="00845107">
              <w:rPr>
                <w:b/>
              </w:rPr>
              <w:t>, 2014</w:t>
            </w:r>
          </w:p>
        </w:tc>
      </w:tr>
    </w:tbl>
    <w:p w:rsidR="00845107" w:rsidRDefault="00845107" w:rsidP="007D118F">
      <w:pPr>
        <w:jc w:val="center"/>
      </w:pPr>
    </w:p>
    <w:p w:rsidR="009943E4" w:rsidRDefault="009943E4" w:rsidP="009943E4">
      <w:pPr>
        <w:ind w:left="720" w:hanging="720"/>
        <w:rPr>
          <w:u w:val="single"/>
        </w:rPr>
      </w:pPr>
      <w:r>
        <w:t>1.</w:t>
      </w:r>
      <w:r>
        <w:tab/>
      </w:r>
      <w:r w:rsidRPr="0018084C">
        <w:rPr>
          <w:u w:val="single"/>
        </w:rPr>
        <w:t>GOVERNING REGULATIONS</w:t>
      </w:r>
    </w:p>
    <w:p w:rsidR="009943E4" w:rsidRDefault="009943E4" w:rsidP="009943E4">
      <w:pPr>
        <w:ind w:left="720" w:hanging="720"/>
      </w:pPr>
    </w:p>
    <w:p w:rsidR="00A53AE3" w:rsidRDefault="009943E4" w:rsidP="009943E4">
      <w:pPr>
        <w:ind w:left="720" w:hanging="720"/>
      </w:pPr>
      <w:r>
        <w:tab/>
        <w:t xml:space="preserve">These procedures supplement System Policy </w:t>
      </w:r>
      <w:hyperlink r:id="rId10" w:history="1">
        <w:r w:rsidRPr="00D77BDA">
          <w:rPr>
            <w:rStyle w:val="Hyperlink"/>
          </w:rPr>
          <w:t>25.06</w:t>
        </w:r>
      </w:hyperlink>
      <w:r w:rsidR="00A53AE3">
        <w:t xml:space="preserve"> Participation by Historically Underutilized Business</w:t>
      </w:r>
      <w:r w:rsidR="0087036F">
        <w:t xml:space="preserve"> (HUB)</w:t>
      </w:r>
      <w:r w:rsidR="007F518D">
        <w:t>,</w:t>
      </w:r>
      <w:r w:rsidR="00A53AE3">
        <w:t xml:space="preserve"> System Regulation </w:t>
      </w:r>
      <w:hyperlink r:id="rId11" w:history="1">
        <w:r w:rsidR="00A53AE3" w:rsidRPr="00D77BDA">
          <w:rPr>
            <w:rStyle w:val="Hyperlink"/>
          </w:rPr>
          <w:t>25.06.01</w:t>
        </w:r>
      </w:hyperlink>
      <w:r w:rsidR="00A53AE3">
        <w:t xml:space="preserve"> System HUB Program</w:t>
      </w:r>
      <w:r w:rsidR="007F518D">
        <w:t xml:space="preserve"> and </w:t>
      </w:r>
      <w:r w:rsidR="007F518D" w:rsidRPr="00522277">
        <w:t xml:space="preserve">System Regulation </w:t>
      </w:r>
      <w:hyperlink r:id="rId12" w:history="1">
        <w:r w:rsidR="007F518D">
          <w:rPr>
            <w:rStyle w:val="Hyperlink"/>
          </w:rPr>
          <w:t>25.07.03</w:t>
        </w:r>
      </w:hyperlink>
      <w:r w:rsidR="007F518D">
        <w:t xml:space="preserve"> Acquisition of Goods and/or Services.</w:t>
      </w:r>
    </w:p>
    <w:p w:rsidR="00A53AE3" w:rsidRDefault="00A53AE3" w:rsidP="009943E4">
      <w:pPr>
        <w:ind w:left="720" w:hanging="720"/>
      </w:pPr>
    </w:p>
    <w:p w:rsidR="009943E4" w:rsidRDefault="00A53AE3" w:rsidP="0025401B">
      <w:pPr>
        <w:pStyle w:val="ListParagraph"/>
        <w:numPr>
          <w:ilvl w:val="0"/>
          <w:numId w:val="7"/>
        </w:numPr>
        <w:tabs>
          <w:tab w:val="left" w:pos="720"/>
        </w:tabs>
        <w:ind w:hanging="1080"/>
      </w:pPr>
      <w:r w:rsidRPr="0025401B">
        <w:rPr>
          <w:u w:val="single"/>
        </w:rPr>
        <w:t>PURPOSE</w:t>
      </w:r>
      <w:r>
        <w:t xml:space="preserve"> </w:t>
      </w:r>
    </w:p>
    <w:p w:rsidR="0087036F" w:rsidRDefault="0087036F" w:rsidP="0025401B">
      <w:pPr>
        <w:tabs>
          <w:tab w:val="left" w:pos="720"/>
        </w:tabs>
      </w:pPr>
    </w:p>
    <w:p w:rsidR="0087036F" w:rsidRDefault="0087036F" w:rsidP="0025401B">
      <w:pPr>
        <w:tabs>
          <w:tab w:val="left" w:pos="720"/>
        </w:tabs>
      </w:pPr>
      <w:r>
        <w:tab/>
        <w:t xml:space="preserve">The purpose of these procedures is to define the agency’s HUB program and assign </w:t>
      </w:r>
      <w:r>
        <w:tab/>
        <w:t xml:space="preserve">responsibilities. </w:t>
      </w:r>
    </w:p>
    <w:p w:rsidR="006475DB" w:rsidRDefault="006475DB" w:rsidP="0025401B">
      <w:pPr>
        <w:pStyle w:val="ListParagraph"/>
        <w:tabs>
          <w:tab w:val="left" w:pos="720"/>
        </w:tabs>
        <w:ind w:left="1080"/>
      </w:pPr>
    </w:p>
    <w:p w:rsidR="00644A93" w:rsidRPr="0025401B" w:rsidRDefault="00644A93" w:rsidP="0025401B">
      <w:pPr>
        <w:pStyle w:val="ListParagraph"/>
        <w:widowControl w:val="0"/>
        <w:numPr>
          <w:ilvl w:val="0"/>
          <w:numId w:val="7"/>
        </w:numPr>
        <w:ind w:left="720" w:hanging="720"/>
        <w:rPr>
          <w:bCs/>
          <w:u w:val="single"/>
        </w:rPr>
      </w:pPr>
      <w:r w:rsidRPr="0025401B">
        <w:rPr>
          <w:bCs/>
          <w:u w:val="single"/>
        </w:rPr>
        <w:t>PARTICIPATION BY HISTORICALLY UNDERUTILIZED BUSINESS</w:t>
      </w:r>
    </w:p>
    <w:p w:rsidR="00644A93" w:rsidRDefault="00644A93" w:rsidP="00644A93"/>
    <w:p w:rsidR="00644A93" w:rsidRDefault="00494E98" w:rsidP="00644A93">
      <w:pPr>
        <w:ind w:left="1440" w:hanging="720"/>
      </w:pPr>
      <w:r>
        <w:t>3</w:t>
      </w:r>
      <w:r w:rsidR="00644A93">
        <w:t>.1</w:t>
      </w:r>
      <w:r w:rsidR="00644A93">
        <w:tab/>
      </w:r>
      <w:r w:rsidR="00B93DEA">
        <w:t>Texas A&amp;M Forest Service (</w:t>
      </w:r>
      <w:r w:rsidR="00D025E4">
        <w:t>TFS</w:t>
      </w:r>
      <w:r w:rsidR="0040542C">
        <w:t>)</w:t>
      </w:r>
      <w:r w:rsidR="00644A93">
        <w:t xml:space="preserve"> will make a good faith effort to involve qualified </w:t>
      </w:r>
      <w:r w:rsidR="0087036F">
        <w:t>HUBs</w:t>
      </w:r>
      <w:r w:rsidR="00644A93">
        <w:t xml:space="preserve"> in procurement contracts and transactions, in accordance with System Policy 25.06, System Regulation 25.06.01 and State of Texas </w:t>
      </w:r>
      <w:r w:rsidR="00D760A2">
        <w:t xml:space="preserve">Statute, </w:t>
      </w:r>
      <w:hyperlink r:id="rId13" w:history="1">
        <w:r w:rsidR="00644A93" w:rsidRPr="00D760A2">
          <w:rPr>
            <w:rStyle w:val="Hyperlink"/>
          </w:rPr>
          <w:t>Government Code Chapter 2161</w:t>
        </w:r>
      </w:hyperlink>
      <w:r w:rsidR="00644A93">
        <w:t xml:space="preserve">.  TFS </w:t>
      </w:r>
      <w:r w:rsidR="00327933">
        <w:t xml:space="preserve">will </w:t>
      </w:r>
      <w:r w:rsidR="00644A93">
        <w:t>not discriminate on the basis of race, color, religion, national origin, sex, disability</w:t>
      </w:r>
      <w:r w:rsidR="00E264F4">
        <w:t>, political</w:t>
      </w:r>
      <w:r w:rsidR="00644A93">
        <w:t xml:space="preserve"> belief or affiliation in the award of contracts. </w:t>
      </w:r>
      <w:r w:rsidR="001348A3">
        <w:t xml:space="preserve"> </w:t>
      </w:r>
      <w:r w:rsidR="00644A93">
        <w:t>Every TFS employee responsible for conducting business with outside vendors has the responsibility of making a good faith effort of ensuring that HUBs are afforded an equal opportunity to compete for all procurement and contracting activities for TFS.</w:t>
      </w:r>
    </w:p>
    <w:p w:rsidR="00644A93" w:rsidRDefault="00644A93" w:rsidP="00644A93"/>
    <w:p w:rsidR="00644A93" w:rsidRDefault="00494E98" w:rsidP="00644A93">
      <w:pPr>
        <w:ind w:left="1440" w:hanging="720"/>
        <w:rPr>
          <w:highlight w:val="yellow"/>
        </w:rPr>
      </w:pPr>
      <w:r>
        <w:t>3</w:t>
      </w:r>
      <w:r w:rsidR="00644A93">
        <w:t>.2</w:t>
      </w:r>
      <w:r w:rsidR="00644A93">
        <w:tab/>
        <w:t xml:space="preserve">The Director of TFS </w:t>
      </w:r>
      <w:r w:rsidR="00327933">
        <w:t xml:space="preserve">has </w:t>
      </w:r>
      <w:r w:rsidR="00644A93">
        <w:t>designate</w:t>
      </w:r>
      <w:r w:rsidR="00327933">
        <w:t>d</w:t>
      </w:r>
      <w:r w:rsidR="00644A93">
        <w:t xml:space="preserve"> </w:t>
      </w:r>
      <w:r w:rsidR="00327933">
        <w:t>the Purchasing Department Head</w:t>
      </w:r>
      <w:r w:rsidR="00644A93">
        <w:t xml:space="preserve"> as HUB Coordinator who </w:t>
      </w:r>
      <w:r w:rsidR="00327933">
        <w:t>is</w:t>
      </w:r>
      <w:r w:rsidR="00644A93">
        <w:t xml:space="preserve"> responsib</w:t>
      </w:r>
      <w:r w:rsidR="00327933">
        <w:t>le</w:t>
      </w:r>
      <w:r w:rsidR="00644A93">
        <w:t xml:space="preserve"> for implementing all programs dealing with HUB activities. This individual </w:t>
      </w:r>
      <w:proofErr w:type="gramStart"/>
      <w:r w:rsidR="00644A93">
        <w:t>report</w:t>
      </w:r>
      <w:r w:rsidR="00327933">
        <w:t>s</w:t>
      </w:r>
      <w:r w:rsidR="00644A93">
        <w:t xml:space="preserve"> </w:t>
      </w:r>
      <w:r w:rsidR="00115B54">
        <w:t xml:space="preserve"> </w:t>
      </w:r>
      <w:r w:rsidR="00644A93">
        <w:t>to</w:t>
      </w:r>
      <w:proofErr w:type="gramEnd"/>
      <w:r w:rsidR="00644A93">
        <w:t xml:space="preserve"> the Associate Director for Finance and Administration, with direct access to the Director</w:t>
      </w:r>
      <w:r w:rsidR="00327933">
        <w:t>,</w:t>
      </w:r>
      <w:r w:rsidR="00644A93">
        <w:t xml:space="preserve"> and </w:t>
      </w:r>
      <w:r w:rsidR="00327933">
        <w:t>is</w:t>
      </w:r>
      <w:r w:rsidR="00644A93">
        <w:t xml:space="preserve"> responsible for all required HUB report</w:t>
      </w:r>
      <w:r w:rsidR="00B91F28">
        <w:t>ing.</w:t>
      </w:r>
    </w:p>
    <w:p w:rsidR="00644A93" w:rsidRDefault="00644A93" w:rsidP="00644A93">
      <w:pPr>
        <w:rPr>
          <w:bCs/>
        </w:rPr>
      </w:pPr>
    </w:p>
    <w:p w:rsidR="00644A93" w:rsidRDefault="00A4584A" w:rsidP="00644A93">
      <w:pPr>
        <w:ind w:left="720" w:hanging="720"/>
        <w:rPr>
          <w:u w:val="single"/>
        </w:rPr>
      </w:pPr>
      <w:r>
        <w:rPr>
          <w:bCs/>
        </w:rPr>
        <w:t>4</w:t>
      </w:r>
      <w:r w:rsidR="00644A93">
        <w:rPr>
          <w:bCs/>
        </w:rPr>
        <w:t xml:space="preserve">. </w:t>
      </w:r>
      <w:r w:rsidR="00644A93">
        <w:rPr>
          <w:bCs/>
        </w:rPr>
        <w:tab/>
      </w:r>
      <w:r w:rsidR="00644A93">
        <w:rPr>
          <w:bCs/>
          <w:u w:val="single"/>
        </w:rPr>
        <w:t>PROCUREMENT GUIDELINES FOR HISTORICALLY UNDERUTILIZED BUSINESS PARTICIPATION</w:t>
      </w:r>
    </w:p>
    <w:p w:rsidR="00644A93" w:rsidRDefault="00644A93" w:rsidP="00644A93"/>
    <w:p w:rsidR="00644A93" w:rsidRDefault="00644A93" w:rsidP="0025401B">
      <w:pPr>
        <w:pStyle w:val="BodyTextIndent"/>
        <w:numPr>
          <w:ilvl w:val="1"/>
          <w:numId w:val="8"/>
        </w:numPr>
        <w:tabs>
          <w:tab w:val="clear" w:pos="540"/>
        </w:tabs>
        <w:ind w:left="1440" w:hanging="720"/>
      </w:pPr>
      <w:r>
        <w:t xml:space="preserve">In accordance with </w:t>
      </w:r>
      <w:r w:rsidR="00522277" w:rsidRPr="00522277">
        <w:t xml:space="preserve">System Regulation </w:t>
      </w:r>
      <w:r w:rsidR="006C2A51" w:rsidRPr="0025401B">
        <w:t>25.07.03</w:t>
      </w:r>
      <w:r>
        <w:t xml:space="preserve">, </w:t>
      </w:r>
      <w:r w:rsidR="00522277">
        <w:t>Acquisition of Goods and/or Services</w:t>
      </w:r>
      <w:r>
        <w:t xml:space="preserve">, TFS is responsible for procuring goods and services required by the agency at the specified quality and quantity level, and at the best value.  Purchase orders will be awarded on the basis of competitive bidding whenever practicable.  TFS </w:t>
      </w:r>
      <w:r w:rsidR="00CC4A20">
        <w:t xml:space="preserve">will </w:t>
      </w:r>
      <w:r>
        <w:t>follow all guidelines outlined in System Regulation 25.</w:t>
      </w:r>
      <w:r w:rsidR="00522277">
        <w:t>07</w:t>
      </w:r>
      <w:r>
        <w:t>.0</w:t>
      </w:r>
      <w:r w:rsidR="00522277">
        <w:t>3</w:t>
      </w:r>
      <w:r>
        <w:t>.</w:t>
      </w:r>
    </w:p>
    <w:p w:rsidR="00644A93" w:rsidRDefault="00644A93" w:rsidP="00644A93">
      <w:pPr>
        <w:pStyle w:val="BodyTextIndent"/>
        <w:tabs>
          <w:tab w:val="clear" w:pos="540"/>
        </w:tabs>
        <w:ind w:left="0" w:firstLine="0"/>
      </w:pPr>
    </w:p>
    <w:p w:rsidR="00644A93" w:rsidRDefault="00494E98" w:rsidP="00644A93">
      <w:pPr>
        <w:rPr>
          <w:bCs/>
          <w:u w:val="single"/>
        </w:rPr>
      </w:pPr>
      <w:r>
        <w:rPr>
          <w:bCs/>
        </w:rPr>
        <w:t>5</w:t>
      </w:r>
      <w:r w:rsidR="00644A93">
        <w:rPr>
          <w:bCs/>
        </w:rPr>
        <w:t xml:space="preserve">. </w:t>
      </w:r>
      <w:r w:rsidR="00644A93">
        <w:rPr>
          <w:bCs/>
        </w:rPr>
        <w:tab/>
      </w:r>
      <w:r w:rsidR="00644A93">
        <w:rPr>
          <w:bCs/>
          <w:u w:val="single"/>
        </w:rPr>
        <w:t>HISTORICALLY UNDERUTILIZED BUSINESS SUBCONTRACTING PLAN</w:t>
      </w:r>
    </w:p>
    <w:p w:rsidR="00644A93" w:rsidRDefault="00644A93" w:rsidP="00644A93">
      <w:pPr>
        <w:rPr>
          <w:u w:val="single"/>
        </w:rPr>
      </w:pPr>
    </w:p>
    <w:p w:rsidR="00644A93" w:rsidRDefault="00644A93" w:rsidP="0025401B">
      <w:pPr>
        <w:pStyle w:val="ListParagraph"/>
        <w:widowControl w:val="0"/>
        <w:numPr>
          <w:ilvl w:val="1"/>
          <w:numId w:val="9"/>
        </w:numPr>
        <w:ind w:left="1440" w:hanging="720"/>
      </w:pPr>
      <w:r>
        <w:lastRenderedPageBreak/>
        <w:t xml:space="preserve">TFS will evaluate, when feasible, contracts for probable subcontracting opportunities and involve qualified HUBs in subcontracting opportunities.  This is a requirement for all procurements $100,000 or more as mandated by </w:t>
      </w:r>
      <w:r w:rsidR="00CC4A20" w:rsidRPr="0025401B">
        <w:t xml:space="preserve">System Policy </w:t>
      </w:r>
      <w:r w:rsidR="00D760A2" w:rsidRPr="0025401B">
        <w:t>25.06</w:t>
      </w:r>
      <w:r>
        <w:t xml:space="preserve"> and </w:t>
      </w:r>
      <w:r w:rsidR="00D760A2" w:rsidRPr="0025401B">
        <w:t>Texas Government Code, Chapter 2161</w:t>
      </w:r>
      <w:r>
        <w:t>, Subchapter F.</w:t>
      </w:r>
    </w:p>
    <w:p w:rsidR="00644A93" w:rsidRDefault="00644A93" w:rsidP="00494E98">
      <w:pPr>
        <w:pStyle w:val="Header"/>
        <w:tabs>
          <w:tab w:val="clear" w:pos="4320"/>
          <w:tab w:val="clear" w:pos="8640"/>
        </w:tabs>
        <w:ind w:left="1440" w:hanging="720"/>
      </w:pPr>
    </w:p>
    <w:p w:rsidR="00644A93" w:rsidRDefault="00644A93" w:rsidP="0025401B">
      <w:pPr>
        <w:pStyle w:val="ListParagraph"/>
        <w:widowControl w:val="0"/>
        <w:numPr>
          <w:ilvl w:val="1"/>
          <w:numId w:val="9"/>
        </w:numPr>
        <w:ind w:left="1440" w:hanging="720"/>
      </w:pPr>
      <w:r>
        <w:t xml:space="preserve">When feasible, TFS will conduct a pre-bid conference for HUB </w:t>
      </w:r>
      <w:r w:rsidR="00184F40">
        <w:t xml:space="preserve">subcontracting plan </w:t>
      </w:r>
      <w:r>
        <w:t>explanation, subcontractor and prime contractor introductions and projects requirements.</w:t>
      </w:r>
    </w:p>
    <w:p w:rsidR="00644A93" w:rsidRDefault="00644A93" w:rsidP="00494E98">
      <w:pPr>
        <w:pStyle w:val="Header"/>
        <w:tabs>
          <w:tab w:val="clear" w:pos="4320"/>
          <w:tab w:val="clear" w:pos="8640"/>
        </w:tabs>
        <w:ind w:left="1440" w:hanging="720"/>
      </w:pPr>
    </w:p>
    <w:p w:rsidR="00644A93" w:rsidRDefault="00644A93" w:rsidP="0025401B">
      <w:pPr>
        <w:widowControl w:val="0"/>
        <w:numPr>
          <w:ilvl w:val="1"/>
          <w:numId w:val="9"/>
        </w:numPr>
        <w:ind w:left="1440" w:hanging="720"/>
      </w:pPr>
      <w:r>
        <w:t xml:space="preserve">TFS will exempt a </w:t>
      </w:r>
      <w:r w:rsidR="00F87417">
        <w:t xml:space="preserve">mentor </w:t>
      </w:r>
      <w:r>
        <w:t xml:space="preserve">from the </w:t>
      </w:r>
      <w:r w:rsidR="00F87417">
        <w:t>s</w:t>
      </w:r>
      <w:r>
        <w:t>ub</w:t>
      </w:r>
      <w:r w:rsidR="002D7D63">
        <w:t>c</w:t>
      </w:r>
      <w:r>
        <w:t xml:space="preserve">ontracting </w:t>
      </w:r>
      <w:r w:rsidR="00F87417">
        <w:t xml:space="preserve">good faith effort </w:t>
      </w:r>
      <w:r>
        <w:t xml:space="preserve">when the </w:t>
      </w:r>
      <w:r w:rsidR="00F87417">
        <w:t xml:space="preserve">mentor </w:t>
      </w:r>
      <w:r>
        <w:t xml:space="preserve">is utilizing a </w:t>
      </w:r>
      <w:r w:rsidR="00F87417">
        <w:t xml:space="preserve">protégé </w:t>
      </w:r>
      <w:r>
        <w:t>for a subcontract area.</w:t>
      </w:r>
    </w:p>
    <w:p w:rsidR="00644A93" w:rsidRDefault="00644A93" w:rsidP="00644A93"/>
    <w:p w:rsidR="00644A93" w:rsidRDefault="00494E98" w:rsidP="00644A93">
      <w:pPr>
        <w:rPr>
          <w:bCs/>
          <w:u w:val="single"/>
        </w:rPr>
      </w:pPr>
      <w:r>
        <w:rPr>
          <w:bCs/>
        </w:rPr>
        <w:t>6</w:t>
      </w:r>
      <w:r w:rsidR="00644A93">
        <w:rPr>
          <w:bCs/>
        </w:rPr>
        <w:t>.</w:t>
      </w:r>
      <w:r w:rsidR="00644A93">
        <w:rPr>
          <w:bCs/>
        </w:rPr>
        <w:tab/>
        <w:t xml:space="preserve"> </w:t>
      </w:r>
      <w:r w:rsidR="00644A93">
        <w:rPr>
          <w:bCs/>
          <w:u w:val="single"/>
        </w:rPr>
        <w:t>MARKETING AND OUTREACH PROGRAMS</w:t>
      </w:r>
    </w:p>
    <w:p w:rsidR="00644A93" w:rsidRDefault="00644A93" w:rsidP="00644A93">
      <w:pPr>
        <w:rPr>
          <w:b/>
        </w:rPr>
      </w:pPr>
    </w:p>
    <w:p w:rsidR="00644A93" w:rsidRDefault="00644A93" w:rsidP="0025401B">
      <w:pPr>
        <w:pStyle w:val="ListParagraph"/>
        <w:widowControl w:val="0"/>
        <w:numPr>
          <w:ilvl w:val="1"/>
          <w:numId w:val="10"/>
        </w:numPr>
        <w:ind w:left="1440" w:hanging="720"/>
      </w:pPr>
      <w:r>
        <w:t xml:space="preserve">TFS </w:t>
      </w:r>
      <w:r w:rsidR="00CC492A">
        <w:t>will</w:t>
      </w:r>
      <w:r>
        <w:t xml:space="preserve"> utilize the Texas </w:t>
      </w:r>
      <w:r w:rsidR="00A03206">
        <w:t>Procurement and Support Services (TPASS)</w:t>
      </w:r>
      <w:r>
        <w:t xml:space="preserve"> </w:t>
      </w:r>
      <w:hyperlink r:id="rId14" w:history="1">
        <w:r w:rsidRPr="005D255E">
          <w:rPr>
            <w:rStyle w:val="Hyperlink"/>
          </w:rPr>
          <w:t>Centralized Master Bidder List (CMBL)</w:t>
        </w:r>
      </w:hyperlink>
      <w:r>
        <w:t xml:space="preserve"> to locate HUB vendors and </w:t>
      </w:r>
      <w:r w:rsidR="00CC492A">
        <w:t>will</w:t>
      </w:r>
      <w:r>
        <w:t xml:space="preserve"> solicit bids from these HUBs for informal and formal bids. TFS </w:t>
      </w:r>
      <w:r w:rsidR="00CC492A">
        <w:t>will</w:t>
      </w:r>
      <w:r>
        <w:t xml:space="preserve"> encourage its departments to solicit bids from HUB vendors when making purchases under their purchase delegation and will assist departments in matching HUB vendors to their purchase needs.  When value will be added to the procurement, TFS </w:t>
      </w:r>
      <w:r w:rsidR="00CC492A">
        <w:t>will</w:t>
      </w:r>
      <w:r>
        <w:t xml:space="preserve"> make bid opportunity information for purchases exceeding $25,000 available on the </w:t>
      </w:r>
      <w:hyperlink r:id="rId15" w:history="1">
        <w:r w:rsidRPr="00583ACA">
          <w:rPr>
            <w:rStyle w:val="Hyperlink"/>
          </w:rPr>
          <w:t>Electronic</w:t>
        </w:r>
        <w:r w:rsidR="00A03206" w:rsidRPr="00583ACA">
          <w:rPr>
            <w:rStyle w:val="Hyperlink"/>
          </w:rPr>
          <w:t xml:space="preserve"> State</w:t>
        </w:r>
        <w:r w:rsidRPr="00583ACA">
          <w:rPr>
            <w:rStyle w:val="Hyperlink"/>
          </w:rPr>
          <w:t xml:space="preserve"> Business Daily</w:t>
        </w:r>
      </w:hyperlink>
      <w:r>
        <w:t>.</w:t>
      </w:r>
    </w:p>
    <w:p w:rsidR="00644A93" w:rsidRDefault="00644A93" w:rsidP="00494E98">
      <w:pPr>
        <w:ind w:left="1440" w:hanging="720"/>
      </w:pPr>
    </w:p>
    <w:p w:rsidR="00644A93" w:rsidRDefault="00644A93" w:rsidP="0025401B">
      <w:pPr>
        <w:pStyle w:val="ListParagraph"/>
        <w:widowControl w:val="0"/>
        <w:numPr>
          <w:ilvl w:val="1"/>
          <w:numId w:val="10"/>
        </w:numPr>
        <w:ind w:left="1440" w:hanging="720"/>
      </w:pPr>
      <w:r>
        <w:t xml:space="preserve">TFS </w:t>
      </w:r>
      <w:r w:rsidR="00CC492A">
        <w:t>will</w:t>
      </w:r>
      <w:r>
        <w:t xml:space="preserve"> participate, plan, and assist in economic opportunity forums deemed beneficial to the TFS HUB Program, including but not limited to those sponsored by legislators, </w:t>
      </w:r>
      <w:r w:rsidR="00A03206">
        <w:t>TPASS</w:t>
      </w:r>
      <w:r>
        <w:t xml:space="preserve">, other A&amp;M System </w:t>
      </w:r>
      <w:r w:rsidR="002D7D63">
        <w:t>members</w:t>
      </w:r>
      <w:r>
        <w:t>, other State of Texas agencies</w:t>
      </w:r>
      <w:r w:rsidR="00C02D4C">
        <w:t>,</w:t>
      </w:r>
      <w:r>
        <w:t xml:space="preserve"> and institutions and private business entities.</w:t>
      </w:r>
    </w:p>
    <w:p w:rsidR="00644A93" w:rsidRDefault="00644A93" w:rsidP="00494E98">
      <w:pPr>
        <w:ind w:left="1440" w:hanging="720"/>
      </w:pPr>
    </w:p>
    <w:p w:rsidR="00644A93" w:rsidRDefault="00644A93" w:rsidP="0025401B">
      <w:pPr>
        <w:widowControl w:val="0"/>
        <w:numPr>
          <w:ilvl w:val="1"/>
          <w:numId w:val="10"/>
        </w:numPr>
        <w:ind w:left="1440" w:hanging="720"/>
      </w:pPr>
      <w:r>
        <w:t xml:space="preserve">TFS </w:t>
      </w:r>
      <w:r w:rsidR="00CC492A">
        <w:t>will</w:t>
      </w:r>
      <w:r>
        <w:t xml:space="preserve"> make available opportunities for HUB vendors to present and/or deliver their business capabilities to TFS employees and the </w:t>
      </w:r>
      <w:r w:rsidR="00A03206">
        <w:t>TFS</w:t>
      </w:r>
      <w:r>
        <w:t xml:space="preserve"> HUB </w:t>
      </w:r>
      <w:r w:rsidR="00A03206">
        <w:t>Coordinator</w:t>
      </w:r>
      <w:r>
        <w:t>.</w:t>
      </w:r>
    </w:p>
    <w:p w:rsidR="00644A93" w:rsidRDefault="00644A93" w:rsidP="00494E98">
      <w:pPr>
        <w:ind w:left="1440" w:hanging="720"/>
      </w:pPr>
    </w:p>
    <w:p w:rsidR="00644A93" w:rsidRDefault="00644A93" w:rsidP="0025401B">
      <w:pPr>
        <w:widowControl w:val="0"/>
        <w:numPr>
          <w:ilvl w:val="1"/>
          <w:numId w:val="10"/>
        </w:numPr>
        <w:ind w:left="1440" w:hanging="720"/>
      </w:pPr>
      <w:r>
        <w:t xml:space="preserve">In accordance with Texas Government Code, Section 2161.065, TFS will participate as a member of the TAMUS Cooperative Mentor Protégé Program to encourage long-term relationships between vendors and HUBs.  The goal of the program is to increase the ability of </w:t>
      </w:r>
      <w:r w:rsidR="002D7D63">
        <w:t xml:space="preserve">HUBs </w:t>
      </w:r>
      <w:r>
        <w:t>to contract with the state and/or receive subcontracts.  The Mentor Protégé Program provides professional guidance and support to HUBs and facilitates their development and growth.</w:t>
      </w:r>
    </w:p>
    <w:p w:rsidR="00644A93" w:rsidRDefault="00644A93" w:rsidP="00494E98">
      <w:pPr>
        <w:ind w:left="1440" w:hanging="720"/>
      </w:pPr>
    </w:p>
    <w:p w:rsidR="00644A93" w:rsidRDefault="00D7485B" w:rsidP="00494E98">
      <w:pPr>
        <w:ind w:left="1440" w:hanging="720"/>
      </w:pPr>
      <w:r>
        <w:t>6.</w:t>
      </w:r>
      <w:r w:rsidR="00644A93">
        <w:t>5</w:t>
      </w:r>
      <w:r w:rsidR="00644A93">
        <w:tab/>
        <w:t>TFS will provide general assistance to HUBs in the areas of certification, agency business and management procedures, and procurement and contracting opportunities.</w:t>
      </w:r>
    </w:p>
    <w:p w:rsidR="00644A93" w:rsidRDefault="00644A93" w:rsidP="00494E98">
      <w:pPr>
        <w:ind w:left="1440" w:hanging="720"/>
      </w:pPr>
    </w:p>
    <w:p w:rsidR="00644A93" w:rsidRDefault="00494E98" w:rsidP="00494E98">
      <w:pPr>
        <w:ind w:left="1440" w:hanging="720"/>
      </w:pPr>
      <w:r>
        <w:t>6.6</w:t>
      </w:r>
      <w:r w:rsidR="00644A93">
        <w:tab/>
        <w:t>TFS shall develop and conduct a HUB Education Program for TFS employees and implement other educational seminars, forums, etc.</w:t>
      </w:r>
      <w:r w:rsidR="00384DFD">
        <w:t>,</w:t>
      </w:r>
      <w:r w:rsidR="00644A93">
        <w:t xml:space="preserve"> as deemed necessary.</w:t>
      </w:r>
    </w:p>
    <w:p w:rsidR="007A35CA" w:rsidRDefault="007A35CA" w:rsidP="00494E98">
      <w:pPr>
        <w:ind w:left="1440" w:hanging="720"/>
      </w:pPr>
    </w:p>
    <w:p w:rsidR="00644A93" w:rsidRDefault="00494E98" w:rsidP="00644A93">
      <w:pPr>
        <w:rPr>
          <w:bCs/>
          <w:u w:val="single"/>
        </w:rPr>
      </w:pPr>
      <w:r>
        <w:rPr>
          <w:bCs/>
        </w:rPr>
        <w:t>7</w:t>
      </w:r>
      <w:r w:rsidR="00644A93">
        <w:rPr>
          <w:bCs/>
        </w:rPr>
        <w:t>.</w:t>
      </w:r>
      <w:r w:rsidR="00644A93">
        <w:rPr>
          <w:bCs/>
        </w:rPr>
        <w:tab/>
      </w:r>
      <w:r w:rsidR="00644A93">
        <w:rPr>
          <w:bCs/>
          <w:u w:val="single"/>
        </w:rPr>
        <w:t>REPORTING</w:t>
      </w:r>
    </w:p>
    <w:p w:rsidR="00644A93" w:rsidRDefault="00644A93" w:rsidP="00644A93">
      <w:pPr>
        <w:rPr>
          <w:b/>
        </w:rPr>
      </w:pPr>
    </w:p>
    <w:p w:rsidR="00644A93" w:rsidRDefault="00EC4007" w:rsidP="00644A93">
      <w:pPr>
        <w:ind w:left="1440" w:hanging="720"/>
      </w:pPr>
      <w:r>
        <w:lastRenderedPageBreak/>
        <w:t>7.</w:t>
      </w:r>
      <w:r w:rsidR="00644A93">
        <w:t>1</w:t>
      </w:r>
      <w:r w:rsidR="00644A93">
        <w:tab/>
        <w:t xml:space="preserve">TFS </w:t>
      </w:r>
      <w:r w:rsidR="00CC492A">
        <w:t>will</w:t>
      </w:r>
      <w:r w:rsidR="00644A93">
        <w:t xml:space="preserve"> report on HUB activity on a </w:t>
      </w:r>
      <w:r w:rsidR="00BC44CB">
        <w:t xml:space="preserve">quarterly </w:t>
      </w:r>
      <w:r w:rsidR="00644A93">
        <w:t xml:space="preserve">basis via the System HUB Reporting Database.  </w:t>
      </w:r>
    </w:p>
    <w:p w:rsidR="00644A93" w:rsidRDefault="00644A93" w:rsidP="00644A93"/>
    <w:p w:rsidR="00644A93" w:rsidRDefault="00494E98" w:rsidP="00644A93">
      <w:pPr>
        <w:ind w:left="1440" w:hanging="720"/>
      </w:pPr>
      <w:r>
        <w:t>7</w:t>
      </w:r>
      <w:r w:rsidR="00644A93">
        <w:t>.2</w:t>
      </w:r>
      <w:r w:rsidR="00644A93">
        <w:tab/>
        <w:t xml:space="preserve">TFS </w:t>
      </w:r>
      <w:r w:rsidR="00CC492A">
        <w:t>will</w:t>
      </w:r>
      <w:r w:rsidR="00644A93">
        <w:t xml:space="preserve"> submit by the required deadline set by the State of Texas the Semi-Annual and Annual HUB Report as required by Texas Government Code 2161, Subchapter C.</w:t>
      </w:r>
    </w:p>
    <w:p w:rsidR="00644A93" w:rsidRDefault="00644A93" w:rsidP="00644A93"/>
    <w:p w:rsidR="00644A93" w:rsidRDefault="00644A93" w:rsidP="00644A93"/>
    <w:p w:rsidR="00644A93" w:rsidRDefault="00644A93" w:rsidP="00644A93">
      <w:pPr>
        <w:jc w:val="center"/>
      </w:pPr>
      <w:r>
        <w:t xml:space="preserve">CONTACT:  </w:t>
      </w:r>
      <w:hyperlink r:id="rId16" w:history="1">
        <w:r>
          <w:rPr>
            <w:rStyle w:val="Hyperlink"/>
          </w:rPr>
          <w:t>HUB Coordinator</w:t>
        </w:r>
      </w:hyperlink>
      <w:r>
        <w:t>, 979/458-73</w:t>
      </w:r>
      <w:r w:rsidR="00A03206">
        <w:t>81</w:t>
      </w:r>
    </w:p>
    <w:p w:rsidR="00644A93" w:rsidRDefault="00644A93" w:rsidP="00644A93"/>
    <w:p w:rsidR="006E5A0E" w:rsidRDefault="006E5A0E" w:rsidP="009C2F2E"/>
    <w:sectPr w:rsidR="006E5A0E" w:rsidSect="0025401B">
      <w:headerReference w:type="even" r:id="rId17"/>
      <w:headerReference w:type="default" r:id="rId18"/>
      <w:footerReference w:type="even" r:id="rId19"/>
      <w:footerReference w:type="default" r:id="rId20"/>
      <w:headerReference w:type="first" r:id="rId21"/>
      <w:footerReference w:type="first" r:id="rId22"/>
      <w:pgSz w:w="12240" w:h="15840" w:code="1"/>
      <w:pgMar w:top="1170" w:right="1440" w:bottom="1440" w:left="1440" w:header="720"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EA2" w:rsidRDefault="00BA3EA2">
      <w:r>
        <w:separator/>
      </w:r>
    </w:p>
  </w:endnote>
  <w:endnote w:type="continuationSeparator" w:id="0">
    <w:p w:rsidR="00BA3EA2" w:rsidRDefault="00BA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D8" w:rsidRDefault="00AE78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8F" w:rsidRDefault="007D118F" w:rsidP="009C2F2E">
    <w:pPr>
      <w:pStyle w:val="Footer"/>
      <w:jc w:val="center"/>
    </w:pPr>
    <w:r>
      <w:t xml:space="preserve">Page </w:t>
    </w:r>
    <w:r w:rsidR="001D6CBF">
      <w:fldChar w:fldCharType="begin"/>
    </w:r>
    <w:r>
      <w:instrText xml:space="preserve"> PAGE </w:instrText>
    </w:r>
    <w:r w:rsidR="001D6CBF">
      <w:fldChar w:fldCharType="separate"/>
    </w:r>
    <w:r w:rsidR="00AD56D3">
      <w:rPr>
        <w:noProof/>
      </w:rPr>
      <w:t>1</w:t>
    </w:r>
    <w:r w:rsidR="001D6CBF">
      <w:fldChar w:fldCharType="end"/>
    </w:r>
    <w:r>
      <w:t xml:space="preserve"> of </w:t>
    </w:r>
    <w:r w:rsidR="001D6CBF">
      <w:fldChar w:fldCharType="begin"/>
    </w:r>
    <w:r w:rsidR="00022F51">
      <w:instrText xml:space="preserve"> NUMPAGES </w:instrText>
    </w:r>
    <w:r w:rsidR="001D6CBF">
      <w:fldChar w:fldCharType="separate"/>
    </w:r>
    <w:r w:rsidR="00AD56D3">
      <w:rPr>
        <w:noProof/>
      </w:rPr>
      <w:t>3</w:t>
    </w:r>
    <w:r w:rsidR="001D6CB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D8" w:rsidRDefault="00AE7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EA2" w:rsidRDefault="00BA3EA2">
      <w:r>
        <w:separator/>
      </w:r>
    </w:p>
  </w:footnote>
  <w:footnote w:type="continuationSeparator" w:id="0">
    <w:p w:rsidR="00BA3EA2" w:rsidRDefault="00BA3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D8" w:rsidRDefault="00AE78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D8" w:rsidRDefault="00AE78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D8" w:rsidRDefault="00AE78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F20E8"/>
    <w:multiLevelType w:val="multilevel"/>
    <w:tmpl w:val="2AEE6268"/>
    <w:lvl w:ilvl="0">
      <w:start w:val="2"/>
      <w:numFmt w:val="decimal"/>
      <w:lvlText w:val="%1"/>
      <w:lvlJc w:val="left"/>
      <w:pPr>
        <w:tabs>
          <w:tab w:val="num" w:pos="90"/>
        </w:tabs>
        <w:ind w:left="9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90"/>
        </w:tabs>
        <w:ind w:left="3690" w:hanging="1080"/>
      </w:pPr>
      <w:rPr>
        <w:rFonts w:hint="default"/>
      </w:rPr>
    </w:lvl>
    <w:lvl w:ilvl="5">
      <w:start w:val="1"/>
      <w:numFmt w:val="decimal"/>
      <w:lvlText w:val="%1.%2.%3.%4.%5.%6"/>
      <w:lvlJc w:val="left"/>
      <w:pPr>
        <w:tabs>
          <w:tab w:val="num" w:pos="4410"/>
        </w:tabs>
        <w:ind w:left="4410"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210"/>
        </w:tabs>
        <w:ind w:left="6210" w:hanging="1440"/>
      </w:pPr>
      <w:rPr>
        <w:rFonts w:hint="default"/>
      </w:rPr>
    </w:lvl>
    <w:lvl w:ilvl="8">
      <w:start w:val="1"/>
      <w:numFmt w:val="decimal"/>
      <w:lvlText w:val="%1.%2.%3.%4.%5.%6.%7.%8.%9"/>
      <w:lvlJc w:val="left"/>
      <w:pPr>
        <w:tabs>
          <w:tab w:val="num" w:pos="7290"/>
        </w:tabs>
        <w:ind w:left="7290" w:hanging="1800"/>
      </w:pPr>
      <w:rPr>
        <w:rFonts w:hint="default"/>
      </w:rPr>
    </w:lvl>
  </w:abstractNum>
  <w:abstractNum w:abstractNumId="1">
    <w:nsid w:val="11F5051F"/>
    <w:multiLevelType w:val="hybridMultilevel"/>
    <w:tmpl w:val="3E0848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8A1678"/>
    <w:multiLevelType w:val="multilevel"/>
    <w:tmpl w:val="3FEA77F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288642C"/>
    <w:multiLevelType w:val="hybridMultilevel"/>
    <w:tmpl w:val="89700F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694CF8"/>
    <w:multiLevelType w:val="hybridMultilevel"/>
    <w:tmpl w:val="E4841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63B10"/>
    <w:multiLevelType w:val="multilevel"/>
    <w:tmpl w:val="373C796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5E43CB1"/>
    <w:multiLevelType w:val="multilevel"/>
    <w:tmpl w:val="10C24F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43B5477F"/>
    <w:multiLevelType w:val="multilevel"/>
    <w:tmpl w:val="14044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48B16F10"/>
    <w:multiLevelType w:val="multilevel"/>
    <w:tmpl w:val="0DF8308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569E4211"/>
    <w:multiLevelType w:val="hybridMultilevel"/>
    <w:tmpl w:val="BC74466C"/>
    <w:lvl w:ilvl="0" w:tplc="1D3E1C34">
      <w:start w:val="2"/>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7"/>
  </w:num>
  <w:num w:numId="4">
    <w:abstractNumId w:val="6"/>
  </w:num>
  <w:num w:numId="5">
    <w:abstractNumId w:val="4"/>
  </w:num>
  <w:num w:numId="6">
    <w:abstractNumId w:val="1"/>
  </w:num>
  <w:num w:numId="7">
    <w:abstractNumId w:val="9"/>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Jb2Z4iabK4XeR49jJnj47ea4dPE=" w:salt="k9luGbQc/XEEa+fA+MbFPg=="/>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A06"/>
    <w:rsid w:val="00022F51"/>
    <w:rsid w:val="000724FD"/>
    <w:rsid w:val="001135CF"/>
    <w:rsid w:val="00115B54"/>
    <w:rsid w:val="001348A3"/>
    <w:rsid w:val="00184F40"/>
    <w:rsid w:val="001A4311"/>
    <w:rsid w:val="001C50CA"/>
    <w:rsid w:val="001D6CBF"/>
    <w:rsid w:val="001F3A90"/>
    <w:rsid w:val="001F7439"/>
    <w:rsid w:val="00232B99"/>
    <w:rsid w:val="0025401B"/>
    <w:rsid w:val="00282798"/>
    <w:rsid w:val="002D7D63"/>
    <w:rsid w:val="002E434C"/>
    <w:rsid w:val="00302EDD"/>
    <w:rsid w:val="00327933"/>
    <w:rsid w:val="00350247"/>
    <w:rsid w:val="00364A06"/>
    <w:rsid w:val="00384DFD"/>
    <w:rsid w:val="003C2990"/>
    <w:rsid w:val="003F3C56"/>
    <w:rsid w:val="0040542C"/>
    <w:rsid w:val="00494E98"/>
    <w:rsid w:val="004A0B01"/>
    <w:rsid w:val="00522277"/>
    <w:rsid w:val="00583ACA"/>
    <w:rsid w:val="005D19C0"/>
    <w:rsid w:val="005D255E"/>
    <w:rsid w:val="00644A93"/>
    <w:rsid w:val="006475DB"/>
    <w:rsid w:val="0067492D"/>
    <w:rsid w:val="006C2A51"/>
    <w:rsid w:val="006E5A0E"/>
    <w:rsid w:val="00731128"/>
    <w:rsid w:val="007363DD"/>
    <w:rsid w:val="00741069"/>
    <w:rsid w:val="00776849"/>
    <w:rsid w:val="007A35CA"/>
    <w:rsid w:val="007D118F"/>
    <w:rsid w:val="007D2246"/>
    <w:rsid w:val="007D75ED"/>
    <w:rsid w:val="007F518D"/>
    <w:rsid w:val="0083030E"/>
    <w:rsid w:val="00834813"/>
    <w:rsid w:val="00845107"/>
    <w:rsid w:val="0087036F"/>
    <w:rsid w:val="00892C33"/>
    <w:rsid w:val="008E1B56"/>
    <w:rsid w:val="008F1582"/>
    <w:rsid w:val="00923478"/>
    <w:rsid w:val="0093607A"/>
    <w:rsid w:val="00946FD7"/>
    <w:rsid w:val="00956FFA"/>
    <w:rsid w:val="00964C2B"/>
    <w:rsid w:val="009943E4"/>
    <w:rsid w:val="009C1C6E"/>
    <w:rsid w:val="009C2F2E"/>
    <w:rsid w:val="009F2962"/>
    <w:rsid w:val="00A03206"/>
    <w:rsid w:val="00A43905"/>
    <w:rsid w:val="00A43C89"/>
    <w:rsid w:val="00A4584A"/>
    <w:rsid w:val="00A53AE3"/>
    <w:rsid w:val="00A55512"/>
    <w:rsid w:val="00A62417"/>
    <w:rsid w:val="00AA690E"/>
    <w:rsid w:val="00AC2D3C"/>
    <w:rsid w:val="00AD56D3"/>
    <w:rsid w:val="00AE78D8"/>
    <w:rsid w:val="00B743B6"/>
    <w:rsid w:val="00B91F28"/>
    <w:rsid w:val="00B93DEA"/>
    <w:rsid w:val="00BA3EA2"/>
    <w:rsid w:val="00BC44CB"/>
    <w:rsid w:val="00BC7F70"/>
    <w:rsid w:val="00BE5B9B"/>
    <w:rsid w:val="00C02D4C"/>
    <w:rsid w:val="00C12BDC"/>
    <w:rsid w:val="00CA5FE6"/>
    <w:rsid w:val="00CC492A"/>
    <w:rsid w:val="00CC4A20"/>
    <w:rsid w:val="00D025E4"/>
    <w:rsid w:val="00D0369F"/>
    <w:rsid w:val="00D11C13"/>
    <w:rsid w:val="00D7485B"/>
    <w:rsid w:val="00D75234"/>
    <w:rsid w:val="00D760A2"/>
    <w:rsid w:val="00D77BDA"/>
    <w:rsid w:val="00D932F8"/>
    <w:rsid w:val="00DE0487"/>
    <w:rsid w:val="00E264F4"/>
    <w:rsid w:val="00E37CC3"/>
    <w:rsid w:val="00E968C2"/>
    <w:rsid w:val="00EA2E66"/>
    <w:rsid w:val="00EC4007"/>
    <w:rsid w:val="00EE5212"/>
    <w:rsid w:val="00EF4A16"/>
    <w:rsid w:val="00F56BCE"/>
    <w:rsid w:val="00F87417"/>
    <w:rsid w:val="00FA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644A93"/>
    <w:pPr>
      <w:keepNext/>
      <w:widowControl w:val="0"/>
      <w:tabs>
        <w:tab w:val="left" w:pos="480"/>
        <w:tab w:val="left" w:pos="900"/>
        <w:tab w:val="left" w:pos="1326"/>
        <w:tab w:val="left" w:pos="1638"/>
        <w:tab w:val="left" w:pos="1950"/>
        <w:tab w:val="left" w:pos="2262"/>
        <w:tab w:val="left" w:pos="9240"/>
      </w:tabs>
      <w:outlineLvl w:val="2"/>
    </w:pPr>
    <w:rPr>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4A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C2F2E"/>
    <w:pPr>
      <w:tabs>
        <w:tab w:val="center" w:pos="4320"/>
        <w:tab w:val="right" w:pos="8640"/>
      </w:tabs>
    </w:pPr>
  </w:style>
  <w:style w:type="paragraph" w:styleId="Footer">
    <w:name w:val="footer"/>
    <w:basedOn w:val="Normal"/>
    <w:rsid w:val="009C2F2E"/>
    <w:pPr>
      <w:tabs>
        <w:tab w:val="center" w:pos="4320"/>
        <w:tab w:val="right" w:pos="8640"/>
      </w:tabs>
    </w:pPr>
  </w:style>
  <w:style w:type="paragraph" w:styleId="BalloonText">
    <w:name w:val="Balloon Text"/>
    <w:basedOn w:val="Normal"/>
    <w:semiHidden/>
    <w:rsid w:val="009C2F2E"/>
    <w:rPr>
      <w:rFonts w:ascii="Tahoma" w:hAnsi="Tahoma" w:cs="Tahoma"/>
      <w:sz w:val="16"/>
      <w:szCs w:val="16"/>
    </w:rPr>
  </w:style>
  <w:style w:type="paragraph" w:styleId="BodyTextIndent">
    <w:name w:val="Body Text Indent"/>
    <w:basedOn w:val="Normal"/>
    <w:rsid w:val="00644A93"/>
    <w:pPr>
      <w:widowControl w:val="0"/>
      <w:tabs>
        <w:tab w:val="left" w:pos="540"/>
      </w:tabs>
      <w:ind w:left="1435" w:hanging="888"/>
    </w:pPr>
    <w:rPr>
      <w:snapToGrid w:val="0"/>
      <w:szCs w:val="20"/>
    </w:rPr>
  </w:style>
  <w:style w:type="character" w:styleId="Hyperlink">
    <w:name w:val="Hyperlink"/>
    <w:basedOn w:val="DefaultParagraphFont"/>
    <w:rsid w:val="00644A93"/>
    <w:rPr>
      <w:color w:val="0000FF"/>
      <w:u w:val="single"/>
    </w:rPr>
  </w:style>
  <w:style w:type="character" w:styleId="FollowedHyperlink">
    <w:name w:val="FollowedHyperlink"/>
    <w:basedOn w:val="DefaultParagraphFont"/>
    <w:rsid w:val="00644A93"/>
    <w:rPr>
      <w:color w:val="800080"/>
      <w:u w:val="single"/>
    </w:rPr>
  </w:style>
  <w:style w:type="character" w:styleId="CommentReference">
    <w:name w:val="annotation reference"/>
    <w:basedOn w:val="DefaultParagraphFont"/>
    <w:rsid w:val="002D7D63"/>
    <w:rPr>
      <w:sz w:val="16"/>
      <w:szCs w:val="16"/>
    </w:rPr>
  </w:style>
  <w:style w:type="paragraph" w:styleId="CommentText">
    <w:name w:val="annotation text"/>
    <w:basedOn w:val="Normal"/>
    <w:link w:val="CommentTextChar"/>
    <w:rsid w:val="002D7D63"/>
    <w:rPr>
      <w:sz w:val="20"/>
      <w:szCs w:val="20"/>
    </w:rPr>
  </w:style>
  <w:style w:type="character" w:customStyle="1" w:styleId="CommentTextChar">
    <w:name w:val="Comment Text Char"/>
    <w:basedOn w:val="DefaultParagraphFont"/>
    <w:link w:val="CommentText"/>
    <w:rsid w:val="002D7D63"/>
  </w:style>
  <w:style w:type="paragraph" w:styleId="CommentSubject">
    <w:name w:val="annotation subject"/>
    <w:basedOn w:val="CommentText"/>
    <w:next w:val="CommentText"/>
    <w:link w:val="CommentSubjectChar"/>
    <w:rsid w:val="002D7D63"/>
    <w:rPr>
      <w:b/>
      <w:bCs/>
    </w:rPr>
  </w:style>
  <w:style w:type="character" w:customStyle="1" w:styleId="CommentSubjectChar">
    <w:name w:val="Comment Subject Char"/>
    <w:basedOn w:val="CommentTextChar"/>
    <w:link w:val="CommentSubject"/>
    <w:rsid w:val="002D7D63"/>
    <w:rPr>
      <w:b/>
      <w:bCs/>
    </w:rPr>
  </w:style>
  <w:style w:type="paragraph" w:styleId="ListParagraph">
    <w:name w:val="List Paragraph"/>
    <w:basedOn w:val="Normal"/>
    <w:uiPriority w:val="34"/>
    <w:qFormat/>
    <w:rsid w:val="00845107"/>
    <w:pPr>
      <w:ind w:left="720"/>
      <w:contextualSpacing/>
    </w:pPr>
  </w:style>
  <w:style w:type="paragraph" w:styleId="Revision">
    <w:name w:val="Revision"/>
    <w:hidden/>
    <w:uiPriority w:val="99"/>
    <w:semiHidden/>
    <w:rsid w:val="00D77B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644A93"/>
    <w:pPr>
      <w:keepNext/>
      <w:widowControl w:val="0"/>
      <w:tabs>
        <w:tab w:val="left" w:pos="480"/>
        <w:tab w:val="left" w:pos="900"/>
        <w:tab w:val="left" w:pos="1326"/>
        <w:tab w:val="left" w:pos="1638"/>
        <w:tab w:val="left" w:pos="1950"/>
        <w:tab w:val="left" w:pos="2262"/>
        <w:tab w:val="left" w:pos="9240"/>
      </w:tabs>
      <w:outlineLvl w:val="2"/>
    </w:pPr>
    <w:rPr>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4A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C2F2E"/>
    <w:pPr>
      <w:tabs>
        <w:tab w:val="center" w:pos="4320"/>
        <w:tab w:val="right" w:pos="8640"/>
      </w:tabs>
    </w:pPr>
  </w:style>
  <w:style w:type="paragraph" w:styleId="Footer">
    <w:name w:val="footer"/>
    <w:basedOn w:val="Normal"/>
    <w:rsid w:val="009C2F2E"/>
    <w:pPr>
      <w:tabs>
        <w:tab w:val="center" w:pos="4320"/>
        <w:tab w:val="right" w:pos="8640"/>
      </w:tabs>
    </w:pPr>
  </w:style>
  <w:style w:type="paragraph" w:styleId="BalloonText">
    <w:name w:val="Balloon Text"/>
    <w:basedOn w:val="Normal"/>
    <w:semiHidden/>
    <w:rsid w:val="009C2F2E"/>
    <w:rPr>
      <w:rFonts w:ascii="Tahoma" w:hAnsi="Tahoma" w:cs="Tahoma"/>
      <w:sz w:val="16"/>
      <w:szCs w:val="16"/>
    </w:rPr>
  </w:style>
  <w:style w:type="paragraph" w:styleId="BodyTextIndent">
    <w:name w:val="Body Text Indent"/>
    <w:basedOn w:val="Normal"/>
    <w:rsid w:val="00644A93"/>
    <w:pPr>
      <w:widowControl w:val="0"/>
      <w:tabs>
        <w:tab w:val="left" w:pos="540"/>
      </w:tabs>
      <w:ind w:left="1435" w:hanging="888"/>
    </w:pPr>
    <w:rPr>
      <w:snapToGrid w:val="0"/>
      <w:szCs w:val="20"/>
    </w:rPr>
  </w:style>
  <w:style w:type="character" w:styleId="Hyperlink">
    <w:name w:val="Hyperlink"/>
    <w:basedOn w:val="DefaultParagraphFont"/>
    <w:rsid w:val="00644A93"/>
    <w:rPr>
      <w:color w:val="0000FF"/>
      <w:u w:val="single"/>
    </w:rPr>
  </w:style>
  <w:style w:type="character" w:styleId="FollowedHyperlink">
    <w:name w:val="FollowedHyperlink"/>
    <w:basedOn w:val="DefaultParagraphFont"/>
    <w:rsid w:val="00644A93"/>
    <w:rPr>
      <w:color w:val="800080"/>
      <w:u w:val="single"/>
    </w:rPr>
  </w:style>
  <w:style w:type="character" w:styleId="CommentReference">
    <w:name w:val="annotation reference"/>
    <w:basedOn w:val="DefaultParagraphFont"/>
    <w:rsid w:val="002D7D63"/>
    <w:rPr>
      <w:sz w:val="16"/>
      <w:szCs w:val="16"/>
    </w:rPr>
  </w:style>
  <w:style w:type="paragraph" w:styleId="CommentText">
    <w:name w:val="annotation text"/>
    <w:basedOn w:val="Normal"/>
    <w:link w:val="CommentTextChar"/>
    <w:rsid w:val="002D7D63"/>
    <w:rPr>
      <w:sz w:val="20"/>
      <w:szCs w:val="20"/>
    </w:rPr>
  </w:style>
  <w:style w:type="character" w:customStyle="1" w:styleId="CommentTextChar">
    <w:name w:val="Comment Text Char"/>
    <w:basedOn w:val="DefaultParagraphFont"/>
    <w:link w:val="CommentText"/>
    <w:rsid w:val="002D7D63"/>
  </w:style>
  <w:style w:type="paragraph" w:styleId="CommentSubject">
    <w:name w:val="annotation subject"/>
    <w:basedOn w:val="CommentText"/>
    <w:next w:val="CommentText"/>
    <w:link w:val="CommentSubjectChar"/>
    <w:rsid w:val="002D7D63"/>
    <w:rPr>
      <w:b/>
      <w:bCs/>
    </w:rPr>
  </w:style>
  <w:style w:type="character" w:customStyle="1" w:styleId="CommentSubjectChar">
    <w:name w:val="Comment Subject Char"/>
    <w:basedOn w:val="CommentTextChar"/>
    <w:link w:val="CommentSubject"/>
    <w:rsid w:val="002D7D63"/>
    <w:rPr>
      <w:b/>
      <w:bCs/>
    </w:rPr>
  </w:style>
  <w:style w:type="paragraph" w:styleId="ListParagraph">
    <w:name w:val="List Paragraph"/>
    <w:basedOn w:val="Normal"/>
    <w:uiPriority w:val="34"/>
    <w:qFormat/>
    <w:rsid w:val="00845107"/>
    <w:pPr>
      <w:ind w:left="720"/>
      <w:contextualSpacing/>
    </w:pPr>
  </w:style>
  <w:style w:type="paragraph" w:styleId="Revision">
    <w:name w:val="Revision"/>
    <w:hidden/>
    <w:uiPriority w:val="99"/>
    <w:semiHidden/>
    <w:rsid w:val="00D77B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tutes.legis.state.tx.us/SOTWDocs/GV/htm/GV.2161.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policies.tamus.edu/25-07-03.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degelman@tfs.tamu.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licies.tamus.edu/25-06-01.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sbd.cpa.state.tx.us/" TargetMode="External"/><Relationship Id="rId23" Type="http://schemas.openxmlformats.org/officeDocument/2006/relationships/fontTable" Target="fontTable.xml"/><Relationship Id="rId10" Type="http://schemas.openxmlformats.org/officeDocument/2006/relationships/hyperlink" Target="http://policies.tamus.edu/25-06.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indow.state.tx.us/procurement/cmbl/cmblhub.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B5369-AE71-40CD-91E1-089C3618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4515</Characters>
  <Application>Microsoft Office Word</Application>
  <DocSecurity>8</DocSecurity>
  <Lines>37</Lines>
  <Paragraphs>10</Paragraphs>
  <ScaleCrop>false</ScaleCrop>
  <LinksUpToDate>false</LinksUpToDate>
  <CharactersWithSpaces>5203</CharactersWithSpaces>
  <SharedDoc>false</SharedDoc>
  <HLinks>
    <vt:vector size="36" baseType="variant">
      <vt:variant>
        <vt:i4>5505085</vt:i4>
      </vt:variant>
      <vt:variant>
        <vt:i4>15</vt:i4>
      </vt:variant>
      <vt:variant>
        <vt:i4>0</vt:i4>
      </vt:variant>
      <vt:variant>
        <vt:i4>5</vt:i4>
      </vt:variant>
      <vt:variant>
        <vt:lpwstr>mailto:adegelman@tfs.tamu.edu</vt:lpwstr>
      </vt:variant>
      <vt:variant>
        <vt:lpwstr/>
      </vt:variant>
      <vt:variant>
        <vt:i4>1441804</vt:i4>
      </vt:variant>
      <vt:variant>
        <vt:i4>12</vt:i4>
      </vt:variant>
      <vt:variant>
        <vt:i4>0</vt:i4>
      </vt:variant>
      <vt:variant>
        <vt:i4>5</vt:i4>
      </vt:variant>
      <vt:variant>
        <vt:lpwstr>http://www.statutes.legis.state.tx.us/SOTWDocs/GV/htm/GV.2161.htm</vt:lpwstr>
      </vt:variant>
      <vt:variant>
        <vt:lpwstr/>
      </vt:variant>
      <vt:variant>
        <vt:i4>6488125</vt:i4>
      </vt:variant>
      <vt:variant>
        <vt:i4>9</vt:i4>
      </vt:variant>
      <vt:variant>
        <vt:i4>0</vt:i4>
      </vt:variant>
      <vt:variant>
        <vt:i4>5</vt:i4>
      </vt:variant>
      <vt:variant>
        <vt:lpwstr>http://policies.tamus.edu/25-07-03.pdf</vt:lpwstr>
      </vt:variant>
      <vt:variant>
        <vt:lpwstr/>
      </vt:variant>
      <vt:variant>
        <vt:i4>6357052</vt:i4>
      </vt:variant>
      <vt:variant>
        <vt:i4>6</vt:i4>
      </vt:variant>
      <vt:variant>
        <vt:i4>0</vt:i4>
      </vt:variant>
      <vt:variant>
        <vt:i4>5</vt:i4>
      </vt:variant>
      <vt:variant>
        <vt:lpwstr>http://policies.tamus.edu/25-06-01.pdf</vt:lpwstr>
      </vt:variant>
      <vt:variant>
        <vt:lpwstr/>
      </vt:variant>
      <vt:variant>
        <vt:i4>2162742</vt:i4>
      </vt:variant>
      <vt:variant>
        <vt:i4>3</vt:i4>
      </vt:variant>
      <vt:variant>
        <vt:i4>0</vt:i4>
      </vt:variant>
      <vt:variant>
        <vt:i4>5</vt:i4>
      </vt:variant>
      <vt:variant>
        <vt:lpwstr>http://policies.tamus.edu/25-06.pdf</vt:lpwstr>
      </vt:variant>
      <vt:variant>
        <vt:lpwstr/>
      </vt:variant>
      <vt:variant>
        <vt:i4>131198</vt:i4>
      </vt:variant>
      <vt:variant>
        <vt:i4>2174</vt:i4>
      </vt:variant>
      <vt:variant>
        <vt:i4>1025</vt:i4>
      </vt:variant>
      <vt:variant>
        <vt:i4>1</vt:i4>
      </vt:variant>
      <vt:variant>
        <vt:lpwstr>http://texasforestservice.tamu.edu/uploadedImages/DO/Communications/color_TFS-logo.jpg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2014-03-27T13:42:00Z</dcterms:created>
  <dcterms:modified xsi:type="dcterms:W3CDTF">2014-03-27T13:47:00Z</dcterms:modified>
</cp:coreProperties>
</file>