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2182" w14:textId="77777777" w:rsidR="00946FD7" w:rsidRDefault="00A62E11" w:rsidP="00364A06">
      <w:pPr>
        <w:jc w:val="center"/>
      </w:pPr>
      <w:r>
        <w:rPr>
          <w:noProof/>
        </w:rPr>
        <w:drawing>
          <wp:inline distT="0" distB="0" distL="0" distR="0" wp14:anchorId="5B6521C9" wp14:editId="5B6521CA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52183" w14:textId="77777777" w:rsidR="00364A06" w:rsidRDefault="00364A06" w:rsidP="00364A06">
      <w:pPr>
        <w:jc w:val="center"/>
      </w:pPr>
    </w:p>
    <w:p w14:paraId="5B652184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5B652185" w14:textId="77777777"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14:paraId="5B652188" w14:textId="77777777" w:rsidTr="00A43C89">
        <w:tc>
          <w:tcPr>
            <w:tcW w:w="5803" w:type="dxa"/>
          </w:tcPr>
          <w:p w14:paraId="5B652186" w14:textId="77777777" w:rsidR="00364A06" w:rsidRPr="00364A06" w:rsidRDefault="003C2FB6" w:rsidP="003C2FB6">
            <w:pPr>
              <w:ind w:left="624" w:hanging="624"/>
              <w:rPr>
                <w:b/>
              </w:rPr>
            </w:pPr>
            <w:r>
              <w:rPr>
                <w:b/>
              </w:rPr>
              <w:t>4</w:t>
            </w:r>
            <w:r w:rsidR="00364A06" w:rsidRPr="00364A06">
              <w:rPr>
                <w:b/>
              </w:rPr>
              <w:t>0.</w:t>
            </w:r>
            <w:r>
              <w:rPr>
                <w:b/>
              </w:rPr>
              <w:t>1</w:t>
            </w:r>
            <w:r w:rsidR="00364A06" w:rsidRPr="00364A06">
              <w:rPr>
                <w:b/>
              </w:rPr>
              <w:t xml:space="preserve">0  </w:t>
            </w:r>
            <w:r w:rsidR="00671FEF">
              <w:rPr>
                <w:b/>
              </w:rPr>
              <w:t>Employee Relocations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5B652187" w14:textId="7B057123" w:rsidR="00364A06" w:rsidRPr="00364A06" w:rsidRDefault="00364A06" w:rsidP="0043404F">
            <w:pPr>
              <w:jc w:val="right"/>
              <w:rPr>
                <w:b/>
              </w:rPr>
            </w:pPr>
            <w:r w:rsidRPr="00364A06">
              <w:rPr>
                <w:b/>
              </w:rPr>
              <w:t xml:space="preserve">Revised:  </w:t>
            </w:r>
            <w:r w:rsidR="005B240E">
              <w:rPr>
                <w:b/>
              </w:rPr>
              <w:t xml:space="preserve"> </w:t>
            </w:r>
            <w:r w:rsidR="00852B4A">
              <w:rPr>
                <w:b/>
              </w:rPr>
              <w:t>April 3</w:t>
            </w:r>
            <w:r w:rsidR="00221674">
              <w:rPr>
                <w:b/>
              </w:rPr>
              <w:t>, 2023</w:t>
            </w:r>
          </w:p>
        </w:tc>
      </w:tr>
    </w:tbl>
    <w:p w14:paraId="5B652189" w14:textId="77777777" w:rsidR="00364A06" w:rsidRDefault="00364A06" w:rsidP="00364A06">
      <w:pPr>
        <w:jc w:val="center"/>
      </w:pPr>
    </w:p>
    <w:p w14:paraId="5B65218A" w14:textId="77777777" w:rsidR="00671FEF" w:rsidRDefault="00671FEF" w:rsidP="00671FEF">
      <w:pPr>
        <w:widowControl w:val="0"/>
        <w:ind w:left="720" w:hanging="720"/>
      </w:pPr>
      <w:r>
        <w:t>1.</w:t>
      </w:r>
      <w:r>
        <w:tab/>
      </w:r>
      <w:r w:rsidRPr="00994CB1">
        <w:rPr>
          <w:u w:val="single"/>
        </w:rPr>
        <w:t>GOVERNING REGULATIONS</w:t>
      </w:r>
    </w:p>
    <w:p w14:paraId="5B65218B" w14:textId="77777777" w:rsidR="00671FEF" w:rsidRDefault="00671FEF" w:rsidP="00671FEF">
      <w:pPr>
        <w:widowControl w:val="0"/>
        <w:ind w:left="720" w:hanging="720"/>
      </w:pPr>
    </w:p>
    <w:p w14:paraId="5B65218C" w14:textId="77777777" w:rsidR="00671FEF" w:rsidRPr="00046591" w:rsidRDefault="00671FEF" w:rsidP="00671FEF">
      <w:pPr>
        <w:widowControl w:val="0"/>
        <w:ind w:left="720"/>
      </w:pPr>
      <w:r>
        <w:t xml:space="preserve">This procedure is governed </w:t>
      </w:r>
      <w:r w:rsidRPr="00046591">
        <w:t>by the</w:t>
      </w:r>
      <w:r w:rsidR="001A64FF">
        <w:t xml:space="preserve"> </w:t>
      </w:r>
      <w:hyperlink r:id="rId8" w:history="1">
        <w:r w:rsidR="001A64FF" w:rsidRPr="001A64FF">
          <w:rPr>
            <w:rStyle w:val="Hyperlink"/>
          </w:rPr>
          <w:t>Moving Expenses</w:t>
        </w:r>
      </w:hyperlink>
      <w:r w:rsidR="001A64FF">
        <w:t xml:space="preserve"> section of </w:t>
      </w:r>
      <w:hyperlink r:id="rId9" w:history="1">
        <w:r w:rsidR="001A64FF">
          <w:rPr>
            <w:rStyle w:val="Hyperlink"/>
          </w:rPr>
          <w:t>eXpendit</w:t>
        </w:r>
      </w:hyperlink>
      <w:r>
        <w:t xml:space="preserve"> and by the System Tax Manual, </w:t>
      </w:r>
      <w:hyperlink r:id="rId10" w:history="1">
        <w:r w:rsidRPr="00046591">
          <w:rPr>
            <w:rStyle w:val="Hyperlink"/>
          </w:rPr>
          <w:t>Moving Expenses</w:t>
        </w:r>
      </w:hyperlink>
      <w:r>
        <w:t xml:space="preserve"> section.</w:t>
      </w:r>
    </w:p>
    <w:p w14:paraId="5B65218D" w14:textId="77777777" w:rsidR="00671FEF" w:rsidRDefault="00671FEF" w:rsidP="00671FEF">
      <w:pPr>
        <w:widowControl w:val="0"/>
        <w:ind w:left="720" w:hanging="720"/>
      </w:pPr>
    </w:p>
    <w:p w14:paraId="5B65218E" w14:textId="77777777" w:rsidR="00671FEF" w:rsidRPr="00253624" w:rsidRDefault="00671FEF" w:rsidP="00671FEF">
      <w:pPr>
        <w:widowControl w:val="0"/>
        <w:ind w:left="720" w:hanging="720"/>
      </w:pPr>
      <w:r>
        <w:t>2</w:t>
      </w:r>
      <w:r w:rsidRPr="00253624">
        <w:t>.</w:t>
      </w:r>
      <w:r w:rsidRPr="00253624">
        <w:tab/>
      </w:r>
      <w:r w:rsidRPr="00994CB1">
        <w:rPr>
          <w:u w:val="single"/>
        </w:rPr>
        <w:t>OVERVIEW</w:t>
      </w:r>
      <w:r>
        <w:t xml:space="preserve"> </w:t>
      </w:r>
    </w:p>
    <w:p w14:paraId="5B65218F" w14:textId="77777777" w:rsidR="00671FEF" w:rsidRPr="00253624" w:rsidRDefault="00671FEF" w:rsidP="00671FEF">
      <w:pPr>
        <w:widowControl w:val="0"/>
      </w:pPr>
    </w:p>
    <w:p w14:paraId="5B652190" w14:textId="2BA78F5F" w:rsidR="00671FEF" w:rsidRPr="00253624" w:rsidRDefault="00671FEF" w:rsidP="00671FEF">
      <w:pPr>
        <w:pStyle w:val="BodyTextIndent"/>
        <w:jc w:val="left"/>
        <w:rPr>
          <w:sz w:val="24"/>
          <w:szCs w:val="24"/>
        </w:rPr>
      </w:pPr>
      <w:r w:rsidRPr="00253624">
        <w:rPr>
          <w:sz w:val="24"/>
          <w:szCs w:val="24"/>
        </w:rPr>
        <w:t xml:space="preserve">Texas </w:t>
      </w:r>
      <w:r w:rsidR="00A62E11">
        <w:rPr>
          <w:sz w:val="24"/>
          <w:szCs w:val="24"/>
        </w:rPr>
        <w:t xml:space="preserve">A&amp;M </w:t>
      </w:r>
      <w:r w:rsidRPr="00253624">
        <w:rPr>
          <w:sz w:val="24"/>
          <w:szCs w:val="24"/>
        </w:rPr>
        <w:t>Forest Service</w:t>
      </w:r>
      <w:r w:rsidR="0048588F">
        <w:rPr>
          <w:sz w:val="24"/>
          <w:szCs w:val="24"/>
        </w:rPr>
        <w:t xml:space="preserve"> </w:t>
      </w:r>
      <w:r w:rsidR="00221674">
        <w:rPr>
          <w:sz w:val="24"/>
          <w:szCs w:val="24"/>
        </w:rPr>
        <w:t xml:space="preserve">may relocate </w:t>
      </w:r>
      <w:r>
        <w:rPr>
          <w:sz w:val="24"/>
          <w:szCs w:val="24"/>
        </w:rPr>
        <w:t xml:space="preserve">personnel </w:t>
      </w:r>
      <w:r w:rsidRPr="00253624">
        <w:rPr>
          <w:sz w:val="24"/>
          <w:szCs w:val="24"/>
        </w:rPr>
        <w:t xml:space="preserve">between </w:t>
      </w:r>
      <w:r>
        <w:rPr>
          <w:sz w:val="24"/>
          <w:szCs w:val="24"/>
        </w:rPr>
        <w:t>a</w:t>
      </w:r>
      <w:r w:rsidRPr="00253624">
        <w:rPr>
          <w:sz w:val="24"/>
          <w:szCs w:val="24"/>
        </w:rPr>
        <w:t>gency locations</w:t>
      </w:r>
      <w:r w:rsidR="00221674">
        <w:rPr>
          <w:sz w:val="24"/>
          <w:szCs w:val="24"/>
        </w:rPr>
        <w:t xml:space="preserve"> to fill a vacancy or</w:t>
      </w:r>
      <w:r w:rsidRPr="00253624">
        <w:rPr>
          <w:sz w:val="24"/>
          <w:szCs w:val="24"/>
        </w:rPr>
        <w:t xml:space="preserve"> to meet </w:t>
      </w:r>
      <w:r w:rsidR="00221674">
        <w:rPr>
          <w:sz w:val="24"/>
          <w:szCs w:val="24"/>
        </w:rPr>
        <w:t>other</w:t>
      </w:r>
      <w:r w:rsidR="00221674" w:rsidRPr="00253624">
        <w:rPr>
          <w:sz w:val="24"/>
          <w:szCs w:val="24"/>
        </w:rPr>
        <w:t xml:space="preserve"> </w:t>
      </w:r>
      <w:r w:rsidRPr="00253624">
        <w:rPr>
          <w:sz w:val="24"/>
          <w:szCs w:val="24"/>
        </w:rPr>
        <w:t xml:space="preserve">mission needs of the </w:t>
      </w:r>
      <w:r>
        <w:rPr>
          <w:sz w:val="24"/>
          <w:szCs w:val="24"/>
        </w:rPr>
        <w:t>a</w:t>
      </w:r>
      <w:r w:rsidRPr="00253624">
        <w:rPr>
          <w:sz w:val="24"/>
          <w:szCs w:val="24"/>
        </w:rPr>
        <w:t>gency.  The goal of th</w:t>
      </w:r>
      <w:r>
        <w:rPr>
          <w:sz w:val="24"/>
          <w:szCs w:val="24"/>
        </w:rPr>
        <w:t>is</w:t>
      </w:r>
      <w:r w:rsidRPr="00253624">
        <w:rPr>
          <w:sz w:val="24"/>
          <w:szCs w:val="24"/>
        </w:rPr>
        <w:t xml:space="preserve"> procedure is to facilitate the timely return of the employee to the workplace, while ensuring the relocation is accomplished in a professional manner.</w:t>
      </w:r>
    </w:p>
    <w:p w14:paraId="5B652191" w14:textId="77777777" w:rsidR="00671FEF" w:rsidRPr="00253624" w:rsidRDefault="00671FEF" w:rsidP="00671FEF">
      <w:pPr>
        <w:widowControl w:val="0"/>
      </w:pPr>
    </w:p>
    <w:p w14:paraId="5B652192" w14:textId="77777777" w:rsidR="00671FEF" w:rsidRPr="00253624" w:rsidRDefault="00671FEF" w:rsidP="00671FEF">
      <w:pPr>
        <w:widowControl w:val="0"/>
        <w:ind w:left="720" w:hanging="720"/>
      </w:pPr>
      <w:r>
        <w:t>3</w:t>
      </w:r>
      <w:r w:rsidRPr="00253624">
        <w:t>.</w:t>
      </w:r>
      <w:r w:rsidRPr="00253624">
        <w:tab/>
      </w:r>
      <w:r w:rsidRPr="00994CB1">
        <w:rPr>
          <w:u w:val="single"/>
        </w:rPr>
        <w:t>ADMINISTRATIVE LEAVE</w:t>
      </w:r>
    </w:p>
    <w:p w14:paraId="5B652193" w14:textId="77777777" w:rsidR="00671FEF" w:rsidRPr="00253624" w:rsidRDefault="00671FEF" w:rsidP="00671FEF">
      <w:pPr>
        <w:widowControl w:val="0"/>
      </w:pPr>
    </w:p>
    <w:p w14:paraId="5B652194" w14:textId="77777777" w:rsidR="00671FEF" w:rsidRPr="00253624" w:rsidRDefault="00671FEF" w:rsidP="00671FEF">
      <w:pPr>
        <w:pStyle w:val="BodyTextIndent2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253624">
        <w:rPr>
          <w:sz w:val="24"/>
          <w:szCs w:val="24"/>
        </w:rPr>
        <w:t>.1</w:t>
      </w:r>
      <w:r w:rsidRPr="00253624">
        <w:rPr>
          <w:sz w:val="24"/>
          <w:szCs w:val="24"/>
        </w:rPr>
        <w:tab/>
        <w:t>A relocating employee may request up to three days administrative leave for house</w:t>
      </w:r>
      <w:r>
        <w:rPr>
          <w:sz w:val="24"/>
          <w:szCs w:val="24"/>
        </w:rPr>
        <w:t>-</w:t>
      </w:r>
      <w:r w:rsidRPr="00253624">
        <w:rPr>
          <w:sz w:val="24"/>
          <w:szCs w:val="24"/>
        </w:rPr>
        <w:t>hunting and up to five days administrative leave for moving household goods.</w:t>
      </w:r>
    </w:p>
    <w:p w14:paraId="5B652195" w14:textId="77777777" w:rsidR="00671FEF" w:rsidRPr="00253624" w:rsidRDefault="00671FEF" w:rsidP="00671FEF">
      <w:pPr>
        <w:widowControl w:val="0"/>
      </w:pPr>
    </w:p>
    <w:p w14:paraId="5B652196" w14:textId="77777777" w:rsidR="00671FEF" w:rsidRDefault="00671FEF" w:rsidP="00671FEF">
      <w:pPr>
        <w:widowControl w:val="0"/>
        <w:ind w:left="1440" w:hanging="720"/>
      </w:pPr>
      <w:r>
        <w:t>3</w:t>
      </w:r>
      <w:r w:rsidRPr="00253624">
        <w:t>.2</w:t>
      </w:r>
      <w:r w:rsidRPr="00253624">
        <w:tab/>
        <w:t xml:space="preserve">Requests for administrative leave must be made on the </w:t>
      </w:r>
      <w:hyperlink r:id="rId11" w:history="1">
        <w:r w:rsidRPr="00E66DD7">
          <w:rPr>
            <w:rStyle w:val="Hyperlink"/>
          </w:rPr>
          <w:t>Request for Personal Leave</w:t>
        </w:r>
      </w:hyperlink>
      <w:r w:rsidRPr="00253624">
        <w:t xml:space="preserve"> form and must be approved in advance by Director. </w:t>
      </w:r>
      <w:r>
        <w:t xml:space="preserve"> </w:t>
      </w:r>
      <w:r w:rsidRPr="00253624">
        <w:rPr>
          <w:i/>
        </w:rPr>
        <w:t>[Note:</w:t>
      </w:r>
      <w:r>
        <w:rPr>
          <w:i/>
        </w:rPr>
        <w:t xml:space="preserve"> </w:t>
      </w:r>
      <w:r w:rsidRPr="00253624">
        <w:rPr>
          <w:i/>
        </w:rPr>
        <w:t xml:space="preserve"> Check “Other” under “Type of Request” and “Purpose of Leave” sections</w:t>
      </w:r>
      <w:r>
        <w:rPr>
          <w:i/>
        </w:rPr>
        <w:t>,</w:t>
      </w:r>
      <w:r w:rsidRPr="00253624">
        <w:rPr>
          <w:i/>
        </w:rPr>
        <w:t xml:space="preserve"> and provide a brief explanation in the Comments section of the form.]</w:t>
      </w:r>
    </w:p>
    <w:p w14:paraId="5B652197" w14:textId="77777777" w:rsidR="00E00129" w:rsidRPr="00E00129" w:rsidRDefault="00E00129" w:rsidP="00671FEF">
      <w:pPr>
        <w:widowControl w:val="0"/>
        <w:ind w:left="1440" w:hanging="720"/>
      </w:pPr>
    </w:p>
    <w:p w14:paraId="5B652198" w14:textId="77777777" w:rsidR="00E00129" w:rsidRPr="00E00129" w:rsidRDefault="00E00129" w:rsidP="00671FEF">
      <w:pPr>
        <w:widowControl w:val="0"/>
        <w:ind w:left="1440" w:hanging="720"/>
      </w:pPr>
      <w:r>
        <w:t>3.3</w:t>
      </w:r>
      <w:r>
        <w:tab/>
        <w:t xml:space="preserve">Any questions regarding administrative leave should be directed to the </w:t>
      </w:r>
      <w:r w:rsidR="00A62E11">
        <w:t xml:space="preserve">AgriLife </w:t>
      </w:r>
      <w:r>
        <w:t xml:space="preserve">Human Resources </w:t>
      </w:r>
      <w:r w:rsidR="00A62E11">
        <w:t>Manager</w:t>
      </w:r>
      <w:r>
        <w:t>.</w:t>
      </w:r>
    </w:p>
    <w:p w14:paraId="5B652199" w14:textId="77777777" w:rsidR="00671FEF" w:rsidRDefault="00671FEF" w:rsidP="00671FEF">
      <w:pPr>
        <w:widowControl w:val="0"/>
      </w:pPr>
    </w:p>
    <w:p w14:paraId="5B65219A" w14:textId="77777777" w:rsidR="00E54D22" w:rsidRDefault="00E54D22" w:rsidP="00671FEF">
      <w:pPr>
        <w:widowControl w:val="0"/>
      </w:pPr>
      <w:r>
        <w:t>4.</w:t>
      </w:r>
      <w:r>
        <w:tab/>
      </w:r>
      <w:r w:rsidRPr="00D022E6">
        <w:rPr>
          <w:u w:val="single"/>
        </w:rPr>
        <w:t>APPROVALS</w:t>
      </w:r>
    </w:p>
    <w:p w14:paraId="5B65219B" w14:textId="77777777" w:rsidR="00E54D22" w:rsidRDefault="00E54D22" w:rsidP="00671FEF">
      <w:pPr>
        <w:widowControl w:val="0"/>
      </w:pPr>
    </w:p>
    <w:p w14:paraId="5B65219C" w14:textId="25299570" w:rsidR="00E54D22" w:rsidRPr="00112AF7" w:rsidRDefault="00E54D22" w:rsidP="00E54D22">
      <w:pPr>
        <w:pStyle w:val="BodyTextIndent2"/>
        <w:ind w:left="720" w:firstLine="0"/>
        <w:jc w:val="left"/>
        <w:rPr>
          <w:sz w:val="24"/>
          <w:szCs w:val="24"/>
        </w:rPr>
      </w:pPr>
      <w:r w:rsidRPr="00253624">
        <w:rPr>
          <w:sz w:val="24"/>
          <w:szCs w:val="24"/>
        </w:rPr>
        <w:t xml:space="preserve">The maximum relocation </w:t>
      </w:r>
      <w:r>
        <w:rPr>
          <w:sz w:val="24"/>
          <w:szCs w:val="24"/>
        </w:rPr>
        <w:t>expenses</w:t>
      </w:r>
      <w:r w:rsidRPr="00253624">
        <w:rPr>
          <w:sz w:val="24"/>
          <w:szCs w:val="24"/>
        </w:rPr>
        <w:t xml:space="preserve"> to be </w:t>
      </w:r>
      <w:r>
        <w:rPr>
          <w:sz w:val="24"/>
          <w:szCs w:val="24"/>
        </w:rPr>
        <w:t>paid</w:t>
      </w:r>
      <w:r w:rsidRPr="00253624">
        <w:rPr>
          <w:sz w:val="24"/>
          <w:szCs w:val="24"/>
        </w:rPr>
        <w:t xml:space="preserve"> by </w:t>
      </w:r>
      <w:r w:rsidR="00221674">
        <w:rPr>
          <w:sz w:val="24"/>
          <w:szCs w:val="24"/>
        </w:rPr>
        <w:t>the agency</w:t>
      </w:r>
      <w:r w:rsidR="00221674" w:rsidRPr="00253624">
        <w:rPr>
          <w:sz w:val="24"/>
          <w:szCs w:val="24"/>
        </w:rPr>
        <w:t xml:space="preserve"> </w:t>
      </w:r>
      <w:r w:rsidRPr="00253624">
        <w:rPr>
          <w:sz w:val="24"/>
          <w:szCs w:val="24"/>
        </w:rPr>
        <w:t xml:space="preserve">and the appropriate funding account must be identified in advance by the respective </w:t>
      </w:r>
      <w:r>
        <w:rPr>
          <w:sz w:val="24"/>
          <w:szCs w:val="24"/>
        </w:rPr>
        <w:t>a</w:t>
      </w:r>
      <w:r w:rsidRPr="00253624">
        <w:rPr>
          <w:sz w:val="24"/>
          <w:szCs w:val="24"/>
        </w:rPr>
        <w:t xml:space="preserve">ssociate </w:t>
      </w:r>
      <w:r>
        <w:rPr>
          <w:sz w:val="24"/>
          <w:szCs w:val="24"/>
        </w:rPr>
        <w:t>d</w:t>
      </w:r>
      <w:r w:rsidRPr="00253624">
        <w:rPr>
          <w:sz w:val="24"/>
          <w:szCs w:val="24"/>
        </w:rPr>
        <w:t>irector</w:t>
      </w:r>
      <w:r>
        <w:rPr>
          <w:sz w:val="24"/>
          <w:szCs w:val="24"/>
        </w:rPr>
        <w:t>, formally documented in writing</w:t>
      </w:r>
      <w:r w:rsidRPr="00253624">
        <w:rPr>
          <w:sz w:val="24"/>
          <w:szCs w:val="24"/>
        </w:rPr>
        <w:t xml:space="preserve"> and approved by the Director.  </w:t>
      </w:r>
      <w:r w:rsidR="00B76405">
        <w:rPr>
          <w:sz w:val="24"/>
          <w:szCs w:val="24"/>
        </w:rPr>
        <w:t>A copy of t</w:t>
      </w:r>
      <w:r w:rsidRPr="00253624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Pr="00253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approved </w:t>
      </w:r>
      <w:r w:rsidRPr="00253624">
        <w:rPr>
          <w:sz w:val="24"/>
          <w:szCs w:val="24"/>
        </w:rPr>
        <w:t xml:space="preserve">request must be </w:t>
      </w:r>
      <w:r w:rsidR="00B76405">
        <w:rPr>
          <w:sz w:val="24"/>
          <w:szCs w:val="24"/>
        </w:rPr>
        <w:t>provided</w:t>
      </w:r>
      <w:r>
        <w:rPr>
          <w:sz w:val="24"/>
          <w:szCs w:val="24"/>
        </w:rPr>
        <w:t xml:space="preserve"> to the Purchasing Department</w:t>
      </w:r>
      <w:r w:rsidR="00B7640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Payroll office.</w:t>
      </w:r>
    </w:p>
    <w:p w14:paraId="5B65219D" w14:textId="77777777" w:rsidR="00E54D22" w:rsidRPr="00253624" w:rsidRDefault="00E54D22" w:rsidP="00D022E6">
      <w:pPr>
        <w:widowControl w:val="0"/>
        <w:ind w:left="720"/>
      </w:pPr>
    </w:p>
    <w:p w14:paraId="5B65219E" w14:textId="77777777" w:rsidR="00671FEF" w:rsidRPr="00253624" w:rsidRDefault="00E54D22" w:rsidP="00671FEF">
      <w:pPr>
        <w:widowControl w:val="0"/>
        <w:ind w:left="720" w:hanging="720"/>
      </w:pPr>
      <w:r>
        <w:t>5</w:t>
      </w:r>
      <w:r w:rsidR="00671FEF" w:rsidRPr="00253624">
        <w:t>.</w:t>
      </w:r>
      <w:r w:rsidR="00671FEF" w:rsidRPr="00253624">
        <w:tab/>
      </w:r>
      <w:r w:rsidR="00671FEF" w:rsidRPr="00994CB1">
        <w:rPr>
          <w:u w:val="single"/>
        </w:rPr>
        <w:t>RELOCATION EXPENSES</w:t>
      </w:r>
    </w:p>
    <w:p w14:paraId="5B65219F" w14:textId="77777777" w:rsidR="00671FEF" w:rsidRPr="00253624" w:rsidRDefault="00671FEF" w:rsidP="00671FEF">
      <w:pPr>
        <w:widowControl w:val="0"/>
      </w:pPr>
    </w:p>
    <w:p w14:paraId="5B6521A0" w14:textId="77777777" w:rsidR="00D022E6" w:rsidRDefault="00E54D22" w:rsidP="00671FEF">
      <w:pPr>
        <w:pStyle w:val="BodyTextIndent2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112AF7" w:rsidRPr="00112AF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12AF7" w:rsidRPr="00112AF7">
        <w:rPr>
          <w:sz w:val="24"/>
          <w:szCs w:val="24"/>
        </w:rPr>
        <w:tab/>
      </w:r>
      <w:r w:rsidR="00112AF7">
        <w:rPr>
          <w:sz w:val="24"/>
          <w:szCs w:val="24"/>
        </w:rPr>
        <w:t xml:space="preserve">Payment of </w:t>
      </w:r>
      <w:r w:rsidR="00112AF7" w:rsidRPr="007F78D7">
        <w:rPr>
          <w:sz w:val="24"/>
          <w:szCs w:val="24"/>
        </w:rPr>
        <w:t xml:space="preserve">relocation </w:t>
      </w:r>
      <w:r>
        <w:rPr>
          <w:sz w:val="24"/>
          <w:szCs w:val="24"/>
        </w:rPr>
        <w:t>expenses</w:t>
      </w:r>
      <w:r w:rsidR="00112AF7">
        <w:rPr>
          <w:sz w:val="24"/>
          <w:szCs w:val="24"/>
        </w:rPr>
        <w:t xml:space="preserve"> </w:t>
      </w:r>
      <w:r w:rsidR="00324258">
        <w:rPr>
          <w:sz w:val="24"/>
          <w:szCs w:val="24"/>
        </w:rPr>
        <w:t>is</w:t>
      </w:r>
      <w:r w:rsidR="00112AF7">
        <w:rPr>
          <w:sz w:val="24"/>
          <w:szCs w:val="24"/>
        </w:rPr>
        <w:t xml:space="preserve"> administered by the Purchasing Department</w:t>
      </w:r>
      <w:r w:rsidR="00112AF7" w:rsidRPr="007F78D7">
        <w:rPr>
          <w:sz w:val="24"/>
          <w:szCs w:val="24"/>
        </w:rPr>
        <w:t>.</w:t>
      </w:r>
      <w:r w:rsidR="00E44DA3">
        <w:rPr>
          <w:sz w:val="24"/>
          <w:szCs w:val="24"/>
        </w:rPr>
        <w:t xml:space="preserve">  </w:t>
      </w:r>
    </w:p>
    <w:p w14:paraId="5B6521A1" w14:textId="77777777" w:rsidR="00D022E6" w:rsidRDefault="00D022E6" w:rsidP="00671FEF">
      <w:pPr>
        <w:pStyle w:val="BodyTextIndent2"/>
        <w:jc w:val="left"/>
        <w:rPr>
          <w:sz w:val="24"/>
          <w:szCs w:val="24"/>
        </w:rPr>
      </w:pPr>
    </w:p>
    <w:p w14:paraId="5B6521A2" w14:textId="77777777" w:rsidR="0035604A" w:rsidRDefault="0035604A">
      <w:r>
        <w:br w:type="page"/>
      </w:r>
    </w:p>
    <w:p w14:paraId="5B6521A3" w14:textId="77777777" w:rsidR="00E44DA3" w:rsidRDefault="00D022E6" w:rsidP="00671FEF">
      <w:pPr>
        <w:pStyle w:val="BodyTextIndent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70CF1">
        <w:rPr>
          <w:sz w:val="24"/>
          <w:szCs w:val="24"/>
        </w:rPr>
        <w:t>A</w:t>
      </w:r>
      <w:r w:rsidR="00E44DA3">
        <w:rPr>
          <w:sz w:val="24"/>
          <w:szCs w:val="24"/>
        </w:rPr>
        <w:t>llowab</w:t>
      </w:r>
      <w:r w:rsidR="003944DC">
        <w:rPr>
          <w:sz w:val="24"/>
          <w:szCs w:val="24"/>
        </w:rPr>
        <w:t xml:space="preserve">ility of </w:t>
      </w:r>
      <w:r w:rsidR="000E6C94">
        <w:rPr>
          <w:sz w:val="24"/>
          <w:szCs w:val="24"/>
        </w:rPr>
        <w:t xml:space="preserve">relocation </w:t>
      </w:r>
      <w:r w:rsidR="00E54D22">
        <w:rPr>
          <w:sz w:val="24"/>
          <w:szCs w:val="24"/>
        </w:rPr>
        <w:t>expenses</w:t>
      </w:r>
      <w:r w:rsidR="00E44DA3">
        <w:rPr>
          <w:sz w:val="24"/>
          <w:szCs w:val="24"/>
        </w:rPr>
        <w:t xml:space="preserve"> </w:t>
      </w:r>
      <w:r w:rsidR="003944DC">
        <w:rPr>
          <w:sz w:val="24"/>
          <w:szCs w:val="24"/>
        </w:rPr>
        <w:t>is as follows</w:t>
      </w:r>
      <w:r w:rsidR="00E44DA3">
        <w:rPr>
          <w:sz w:val="24"/>
          <w:szCs w:val="24"/>
        </w:rPr>
        <w:t>:</w:t>
      </w:r>
    </w:p>
    <w:p w14:paraId="5B6521A4" w14:textId="77777777" w:rsidR="003944DC" w:rsidRDefault="003944DC" w:rsidP="00671FEF">
      <w:pPr>
        <w:pStyle w:val="BodyTextIndent2"/>
        <w:jc w:val="left"/>
        <w:rPr>
          <w:sz w:val="24"/>
          <w:szCs w:val="24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960"/>
        <w:gridCol w:w="3600"/>
      </w:tblGrid>
      <w:tr w:rsidR="003944DC" w:rsidRPr="003944DC" w14:paraId="5B6521A7" w14:textId="77777777" w:rsidTr="0048588F">
        <w:tc>
          <w:tcPr>
            <w:tcW w:w="3960" w:type="dxa"/>
            <w:shd w:val="clear" w:color="auto" w:fill="D9D9D9" w:themeFill="background1" w:themeFillShade="D9"/>
          </w:tcPr>
          <w:p w14:paraId="5B6521A5" w14:textId="77777777" w:rsidR="003944DC" w:rsidRPr="003944DC" w:rsidRDefault="003944DC" w:rsidP="00D022E6">
            <w:pPr>
              <w:pStyle w:val="BodyTextIndent2"/>
              <w:ind w:left="0" w:firstLine="0"/>
              <w:jc w:val="center"/>
              <w:rPr>
                <w:sz w:val="24"/>
                <w:szCs w:val="24"/>
              </w:rPr>
            </w:pPr>
            <w:r w:rsidRPr="003944DC">
              <w:rPr>
                <w:sz w:val="24"/>
                <w:szCs w:val="24"/>
              </w:rPr>
              <w:t>Allowable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B6521A6" w14:textId="77777777" w:rsidR="003944DC" w:rsidRPr="003944DC" w:rsidRDefault="003944DC" w:rsidP="00D022E6">
            <w:pPr>
              <w:pStyle w:val="BodyTextIndent2"/>
              <w:ind w:left="0" w:firstLine="0"/>
              <w:jc w:val="center"/>
              <w:rPr>
                <w:sz w:val="24"/>
                <w:szCs w:val="24"/>
              </w:rPr>
            </w:pPr>
            <w:r w:rsidRPr="003944DC">
              <w:rPr>
                <w:sz w:val="24"/>
                <w:szCs w:val="24"/>
              </w:rPr>
              <w:t>Unallowable</w:t>
            </w:r>
          </w:p>
        </w:tc>
      </w:tr>
      <w:tr w:rsidR="003944DC" w14:paraId="5B6521AA" w14:textId="77777777" w:rsidTr="0048588F">
        <w:tc>
          <w:tcPr>
            <w:tcW w:w="3960" w:type="dxa"/>
          </w:tcPr>
          <w:p w14:paraId="5B6521A8" w14:textId="77777777" w:rsidR="003944DC" w:rsidRDefault="003944DC" w:rsidP="003944DC">
            <w:pPr>
              <w:pStyle w:val="BodyTextIndent2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contractor (labor, equipment, mileage, etc.)</w:t>
            </w:r>
          </w:p>
        </w:tc>
        <w:tc>
          <w:tcPr>
            <w:tcW w:w="3600" w:type="dxa"/>
          </w:tcPr>
          <w:p w14:paraId="5B6521A9" w14:textId="77777777" w:rsidR="003944DC" w:rsidRDefault="005D71AA" w:rsidP="003944DC">
            <w:pPr>
              <w:pStyle w:val="BodyTextIndent2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buying, leasing or selling costs</w:t>
            </w:r>
          </w:p>
        </w:tc>
      </w:tr>
      <w:tr w:rsidR="005D71AA" w14:paraId="5B6521AD" w14:textId="77777777" w:rsidTr="0048588F">
        <w:tc>
          <w:tcPr>
            <w:tcW w:w="3960" w:type="dxa"/>
          </w:tcPr>
          <w:p w14:paraId="5B6521AB" w14:textId="77777777" w:rsidR="005D71AA" w:rsidRDefault="005D71AA" w:rsidP="005D71AA">
            <w:pPr>
              <w:pStyle w:val="BodyTextIndent2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Rental of moving truck or trailer</w:t>
            </w:r>
          </w:p>
        </w:tc>
        <w:tc>
          <w:tcPr>
            <w:tcW w:w="3600" w:type="dxa"/>
          </w:tcPr>
          <w:p w14:paraId="5B6521AC" w14:textId="77777777" w:rsidR="005D71AA" w:rsidRDefault="00341BB5" w:rsidP="005D71AA">
            <w:pPr>
              <w:pStyle w:val="BodyTextIndent2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  <w:r w:rsidR="005D71AA">
              <w:rPr>
                <w:sz w:val="24"/>
                <w:szCs w:val="24"/>
              </w:rPr>
              <w:t xml:space="preserve"> costs</w:t>
            </w:r>
            <w:r w:rsidR="00075E7C">
              <w:rPr>
                <w:sz w:val="24"/>
                <w:szCs w:val="24"/>
              </w:rPr>
              <w:t xml:space="preserve"> (includes travel expenses such as meals, lodging, etc. for employee and family during house hunting and actual move)</w:t>
            </w:r>
          </w:p>
        </w:tc>
      </w:tr>
      <w:tr w:rsidR="005D71AA" w14:paraId="5B6521B0" w14:textId="77777777" w:rsidTr="0048588F">
        <w:tc>
          <w:tcPr>
            <w:tcW w:w="3960" w:type="dxa"/>
          </w:tcPr>
          <w:p w14:paraId="5B6521AE" w14:textId="77777777" w:rsidR="005D71AA" w:rsidRDefault="005D71AA" w:rsidP="005D71AA">
            <w:pPr>
              <w:pStyle w:val="BodyTextIndent2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Packing materials</w:t>
            </w:r>
          </w:p>
        </w:tc>
        <w:tc>
          <w:tcPr>
            <w:tcW w:w="3600" w:type="dxa"/>
          </w:tcPr>
          <w:p w14:paraId="5B6521AF" w14:textId="77777777" w:rsidR="005D71AA" w:rsidRDefault="005D71AA" w:rsidP="0043404F">
            <w:pPr>
              <w:pStyle w:val="BodyTextIndent2"/>
              <w:ind w:left="0" w:firstLine="0"/>
              <w:jc w:val="left"/>
              <w:rPr>
                <w:sz w:val="24"/>
                <w:szCs w:val="24"/>
              </w:rPr>
            </w:pPr>
            <w:r w:rsidRPr="007F78D7">
              <w:rPr>
                <w:sz w:val="24"/>
                <w:szCs w:val="24"/>
              </w:rPr>
              <w:t>Storage</w:t>
            </w:r>
            <w:r w:rsidR="008A7B11">
              <w:rPr>
                <w:sz w:val="24"/>
                <w:szCs w:val="24"/>
              </w:rPr>
              <w:t xml:space="preserve"> </w:t>
            </w:r>
            <w:r w:rsidR="0043404F">
              <w:rPr>
                <w:sz w:val="24"/>
                <w:szCs w:val="24"/>
              </w:rPr>
              <w:t>r</w:t>
            </w:r>
            <w:r w:rsidR="008A7B11">
              <w:rPr>
                <w:sz w:val="24"/>
                <w:szCs w:val="24"/>
              </w:rPr>
              <w:t>ental</w:t>
            </w:r>
          </w:p>
        </w:tc>
      </w:tr>
    </w:tbl>
    <w:p w14:paraId="5B6521B1" w14:textId="77777777" w:rsidR="003944DC" w:rsidRDefault="003944DC" w:rsidP="00D022E6">
      <w:pPr>
        <w:pStyle w:val="BodyTextIndent2"/>
        <w:ind w:left="1800" w:firstLine="0"/>
        <w:jc w:val="left"/>
        <w:rPr>
          <w:sz w:val="24"/>
          <w:szCs w:val="24"/>
        </w:rPr>
      </w:pPr>
    </w:p>
    <w:p w14:paraId="5B6521B2" w14:textId="77777777" w:rsidR="00794E3D" w:rsidRPr="00253624" w:rsidRDefault="000E6C94" w:rsidP="00D022E6">
      <w:pPr>
        <w:pStyle w:val="BodyTextIndent2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1463B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1463B3">
        <w:rPr>
          <w:sz w:val="24"/>
          <w:szCs w:val="24"/>
        </w:rPr>
        <w:tab/>
        <w:t>T</w:t>
      </w:r>
      <w:r w:rsidR="00761B06">
        <w:rPr>
          <w:sz w:val="24"/>
          <w:szCs w:val="24"/>
        </w:rPr>
        <w:t xml:space="preserve">he requesting department </w:t>
      </w:r>
      <w:r w:rsidR="005D71AA">
        <w:rPr>
          <w:sz w:val="24"/>
          <w:szCs w:val="24"/>
        </w:rPr>
        <w:t xml:space="preserve">or relocating employee </w:t>
      </w:r>
      <w:r w:rsidR="00761B06">
        <w:rPr>
          <w:sz w:val="24"/>
          <w:szCs w:val="24"/>
        </w:rPr>
        <w:t xml:space="preserve">will initiate </w:t>
      </w:r>
      <w:r w:rsidR="001463B3">
        <w:rPr>
          <w:sz w:val="24"/>
          <w:szCs w:val="24"/>
        </w:rPr>
        <w:t xml:space="preserve">the relocation by </w:t>
      </w:r>
      <w:r w:rsidR="00AA224D">
        <w:rPr>
          <w:sz w:val="24"/>
          <w:szCs w:val="24"/>
        </w:rPr>
        <w:t>providing</w:t>
      </w:r>
      <w:r w:rsidR="001463B3">
        <w:rPr>
          <w:sz w:val="24"/>
          <w:szCs w:val="24"/>
        </w:rPr>
        <w:t xml:space="preserve"> the Purchasing Department</w:t>
      </w:r>
      <w:r w:rsidR="00AA224D">
        <w:rPr>
          <w:sz w:val="24"/>
          <w:szCs w:val="24"/>
        </w:rPr>
        <w:t xml:space="preserve"> a copy of the letter authorizing agency payment of the relocation costs</w:t>
      </w:r>
      <w:r w:rsidR="001463B3">
        <w:rPr>
          <w:sz w:val="24"/>
          <w:szCs w:val="24"/>
        </w:rPr>
        <w:t>.  Based upon the method chosen for conducting the move, Purchasing will provide appropriate guidance on how the</w:t>
      </w:r>
      <w:r w:rsidR="00E54D22">
        <w:rPr>
          <w:sz w:val="24"/>
          <w:szCs w:val="24"/>
        </w:rPr>
        <w:t xml:space="preserve"> allowable</w:t>
      </w:r>
      <w:r w:rsidR="001463B3">
        <w:rPr>
          <w:sz w:val="24"/>
          <w:szCs w:val="24"/>
        </w:rPr>
        <w:t xml:space="preserve"> relocation </w:t>
      </w:r>
      <w:r w:rsidR="00E54D22">
        <w:rPr>
          <w:sz w:val="24"/>
          <w:szCs w:val="24"/>
        </w:rPr>
        <w:t>expenses</w:t>
      </w:r>
      <w:r w:rsidR="001463B3">
        <w:rPr>
          <w:sz w:val="24"/>
          <w:szCs w:val="24"/>
        </w:rPr>
        <w:t xml:space="preserve"> will be handled.</w:t>
      </w:r>
      <w:r w:rsidR="00794E3D">
        <w:rPr>
          <w:sz w:val="24"/>
          <w:szCs w:val="24"/>
        </w:rPr>
        <w:t xml:space="preserve"> </w:t>
      </w:r>
      <w:r w:rsidR="00AA224D">
        <w:rPr>
          <w:sz w:val="24"/>
          <w:szCs w:val="24"/>
        </w:rPr>
        <w:t xml:space="preserve"> Purchasing will provide a copy of the authorization letter to both Accounts Payable and Payroll.</w:t>
      </w:r>
    </w:p>
    <w:p w14:paraId="5B6521B3" w14:textId="77777777" w:rsidR="00671FEF" w:rsidRDefault="00671FEF" w:rsidP="00D022E6">
      <w:pPr>
        <w:widowControl w:val="0"/>
      </w:pPr>
    </w:p>
    <w:p w14:paraId="5B6521B4" w14:textId="77777777" w:rsidR="00534FA3" w:rsidRDefault="000E6C94" w:rsidP="00534FA3">
      <w:pPr>
        <w:widowControl w:val="0"/>
        <w:ind w:left="1440" w:hanging="720"/>
      </w:pPr>
      <w:r>
        <w:t>5</w:t>
      </w:r>
      <w:r w:rsidR="00534FA3">
        <w:t>.</w:t>
      </w:r>
      <w:r>
        <w:t>3</w:t>
      </w:r>
      <w:r w:rsidR="00534FA3">
        <w:tab/>
        <w:t xml:space="preserve">All payments for relocation expenses are taxable for income tax purposes.  </w:t>
      </w:r>
      <w:r w:rsidR="00AA224D">
        <w:t xml:space="preserve">When payment of the expense is processed, Accounts Payable will provide Payroll a copy of the payment documentation.  </w:t>
      </w:r>
      <w:r w:rsidR="00534FA3">
        <w:t xml:space="preserve">The relocation expenses will be added as an emolument to the relocating employee’s pay and a pay adjustment will be made to cover the taxes.  </w:t>
      </w:r>
    </w:p>
    <w:p w14:paraId="5B6521B5" w14:textId="77777777" w:rsidR="002F6BE6" w:rsidRPr="00253624" w:rsidRDefault="00464682" w:rsidP="00896722">
      <w:pPr>
        <w:widowControl w:val="0"/>
      </w:pPr>
      <w:r>
        <w:tab/>
      </w:r>
    </w:p>
    <w:p w14:paraId="5B6521B6" w14:textId="4756B84A" w:rsidR="00671FEF" w:rsidRDefault="007E0096" w:rsidP="00671FEF">
      <w:pPr>
        <w:widowControl w:val="0"/>
      </w:pPr>
      <w:r>
        <w:t>6</w:t>
      </w:r>
      <w:r w:rsidR="00671FEF">
        <w:t>.</w:t>
      </w:r>
      <w:r w:rsidR="00671FEF">
        <w:tab/>
      </w:r>
      <w:r w:rsidR="00671FEF" w:rsidRPr="00994CB1">
        <w:rPr>
          <w:u w:val="single"/>
        </w:rPr>
        <w:t xml:space="preserve">TEMPORARY USE OF </w:t>
      </w:r>
      <w:r w:rsidR="00221674">
        <w:rPr>
          <w:u w:val="single"/>
        </w:rPr>
        <w:t>AGENCY</w:t>
      </w:r>
      <w:r w:rsidR="00221674" w:rsidRPr="00994CB1">
        <w:rPr>
          <w:u w:val="single"/>
        </w:rPr>
        <w:t xml:space="preserve"> </w:t>
      </w:r>
      <w:r w:rsidR="00671FEF" w:rsidRPr="00994CB1">
        <w:rPr>
          <w:u w:val="single"/>
        </w:rPr>
        <w:t>VEHICLES</w:t>
      </w:r>
    </w:p>
    <w:p w14:paraId="5B6521B7" w14:textId="77777777" w:rsidR="00671FEF" w:rsidRDefault="00671FEF" w:rsidP="00671FEF">
      <w:pPr>
        <w:widowControl w:val="0"/>
      </w:pPr>
    </w:p>
    <w:p w14:paraId="5B6521B8" w14:textId="112E86D3" w:rsidR="00671FEF" w:rsidRDefault="00671FEF" w:rsidP="00671FEF">
      <w:pPr>
        <w:widowControl w:val="0"/>
        <w:ind w:left="720"/>
      </w:pPr>
      <w:r>
        <w:t>During the initial period at the new headquarters, the employee might be allowed to use a</w:t>
      </w:r>
      <w:r w:rsidR="00221674">
        <w:t>n</w:t>
      </w:r>
      <w:r>
        <w:t xml:space="preserve"> </w:t>
      </w:r>
      <w:r w:rsidR="00221674">
        <w:t xml:space="preserve">agency </w:t>
      </w:r>
      <w:r>
        <w:t>vehicle to travel between the original headquarters and the new headquarters.  A</w:t>
      </w:r>
      <w:r w:rsidR="00221674">
        <w:t>n</w:t>
      </w:r>
      <w:r>
        <w:t xml:space="preserve"> </w:t>
      </w:r>
      <w:r w:rsidR="00221674">
        <w:t xml:space="preserve">agency </w:t>
      </w:r>
      <w:r>
        <w:t>vehicle may NOT be used to commute between the employee’s home and either the original or new headquarters.  The use of a</w:t>
      </w:r>
      <w:r w:rsidR="00221674">
        <w:t>n</w:t>
      </w:r>
      <w:r>
        <w:t xml:space="preserve"> </w:t>
      </w:r>
      <w:r w:rsidR="00221674">
        <w:t xml:space="preserve">agency </w:t>
      </w:r>
      <w:r>
        <w:t xml:space="preserve">vehicle must be approved in advance in writing by the applicable associate director.  </w:t>
      </w:r>
    </w:p>
    <w:p w14:paraId="5B6521B9" w14:textId="77777777" w:rsidR="00671FEF" w:rsidRDefault="00671FEF" w:rsidP="00671FEF">
      <w:pPr>
        <w:widowControl w:val="0"/>
        <w:ind w:left="1440" w:hanging="720"/>
      </w:pPr>
    </w:p>
    <w:p w14:paraId="5B6521BA" w14:textId="611CE904" w:rsidR="00671FEF" w:rsidRDefault="007E0096" w:rsidP="00D022E6">
      <w:pPr>
        <w:widowControl w:val="0"/>
        <w:ind w:left="1440" w:hanging="720"/>
      </w:pPr>
      <w:r>
        <w:t>6</w:t>
      </w:r>
      <w:r w:rsidR="00671FEF">
        <w:t>.1</w:t>
      </w:r>
      <w:r w:rsidR="00671FEF">
        <w:tab/>
        <w:t xml:space="preserve">If the relocation is initiated by </w:t>
      </w:r>
      <w:r w:rsidR="00221674">
        <w:t xml:space="preserve">the agency </w:t>
      </w:r>
      <w:r w:rsidR="00671FEF">
        <w:t>based on changes in operational needs, use of a</w:t>
      </w:r>
      <w:r w:rsidR="00221674">
        <w:t>n</w:t>
      </w:r>
      <w:r w:rsidR="00671FEF">
        <w:t xml:space="preserve"> </w:t>
      </w:r>
      <w:r w:rsidR="00221674">
        <w:t xml:space="preserve">agency </w:t>
      </w:r>
      <w:r w:rsidR="00671FEF">
        <w:t>vehicle may be granted for a period not to exceed six months.  Operational needs include, but are not limited to, the following:</w:t>
      </w:r>
    </w:p>
    <w:p w14:paraId="5B6521BB" w14:textId="77777777" w:rsidR="00D022E6" w:rsidRDefault="00D022E6" w:rsidP="00D022E6">
      <w:pPr>
        <w:widowControl w:val="0"/>
        <w:ind w:left="1440" w:hanging="720"/>
      </w:pPr>
    </w:p>
    <w:p w14:paraId="5B6521BC" w14:textId="2D243943" w:rsidR="00671FEF" w:rsidRDefault="00671FEF" w:rsidP="00D022E6">
      <w:pPr>
        <w:widowControl w:val="0"/>
        <w:tabs>
          <w:tab w:val="left" w:pos="1800"/>
        </w:tabs>
        <w:ind w:left="1440"/>
      </w:pPr>
      <w:r>
        <w:t>a.</w:t>
      </w:r>
      <w:r>
        <w:tab/>
        <w:t>office closure and relocation of staff.</w:t>
      </w:r>
    </w:p>
    <w:p w14:paraId="5B6521BD" w14:textId="77777777" w:rsidR="00D022E6" w:rsidRDefault="00D022E6" w:rsidP="00D022E6">
      <w:pPr>
        <w:widowControl w:val="0"/>
        <w:ind w:left="1440"/>
      </w:pPr>
    </w:p>
    <w:p w14:paraId="5B6521BE" w14:textId="61B58E03" w:rsidR="00671FEF" w:rsidRDefault="00671FEF" w:rsidP="00D022E6">
      <w:pPr>
        <w:widowControl w:val="0"/>
        <w:tabs>
          <w:tab w:val="left" w:pos="1800"/>
        </w:tabs>
        <w:ind w:left="1440"/>
      </w:pPr>
      <w:r>
        <w:t>b.</w:t>
      </w:r>
      <w:r>
        <w:tab/>
        <w:t>relocation of a position to another office location.</w:t>
      </w:r>
    </w:p>
    <w:p w14:paraId="5B6521BF" w14:textId="77777777" w:rsidR="00D022E6" w:rsidRDefault="00D022E6" w:rsidP="00D022E6">
      <w:pPr>
        <w:widowControl w:val="0"/>
        <w:ind w:left="1440"/>
      </w:pPr>
    </w:p>
    <w:p w14:paraId="5B6521C0" w14:textId="0D15FEA8" w:rsidR="00671FEF" w:rsidRDefault="00671FEF" w:rsidP="00D022E6">
      <w:pPr>
        <w:widowControl w:val="0"/>
        <w:tabs>
          <w:tab w:val="left" w:pos="1800"/>
        </w:tabs>
        <w:ind w:left="1440"/>
      </w:pPr>
      <w:r>
        <w:t>c.</w:t>
      </w:r>
      <w:r>
        <w:tab/>
        <w:t xml:space="preserve">transfer or promotion of an employee to a position at another </w:t>
      </w:r>
      <w:r w:rsidR="00D022E6">
        <w:tab/>
      </w:r>
      <w:r>
        <w:t>location.</w:t>
      </w:r>
    </w:p>
    <w:p w14:paraId="5B6521C1" w14:textId="77777777" w:rsidR="00671FEF" w:rsidRDefault="00671FEF" w:rsidP="00D022E6">
      <w:pPr>
        <w:widowControl w:val="0"/>
        <w:ind w:left="1440"/>
      </w:pPr>
    </w:p>
    <w:p w14:paraId="5B6521C2" w14:textId="1FD72649" w:rsidR="00671FEF" w:rsidRDefault="007E0096" w:rsidP="00671FEF">
      <w:pPr>
        <w:widowControl w:val="0"/>
        <w:ind w:left="1440" w:hanging="720"/>
      </w:pPr>
      <w:r>
        <w:t>6</w:t>
      </w:r>
      <w:r w:rsidR="00671FEF">
        <w:t>.2</w:t>
      </w:r>
      <w:r w:rsidR="00671FEF">
        <w:tab/>
        <w:t>If the relocation is the result of an employee-requested transfer, use of a</w:t>
      </w:r>
      <w:r w:rsidR="00221674">
        <w:t>n</w:t>
      </w:r>
      <w:r w:rsidR="00671FEF">
        <w:t xml:space="preserve"> </w:t>
      </w:r>
      <w:r w:rsidR="00221674">
        <w:t xml:space="preserve">agency </w:t>
      </w:r>
      <w:r w:rsidR="00671FEF">
        <w:t xml:space="preserve">vehicle will not be allowed.  </w:t>
      </w:r>
    </w:p>
    <w:p w14:paraId="5B6521C3" w14:textId="77777777" w:rsidR="00BA79F7" w:rsidRDefault="00BA79F7">
      <w:r>
        <w:br w:type="page"/>
      </w:r>
    </w:p>
    <w:p w14:paraId="5B6521C4" w14:textId="77777777" w:rsidR="00671FEF" w:rsidRPr="00A35E58" w:rsidRDefault="00912CFC" w:rsidP="00912CFC">
      <w:pPr>
        <w:widowControl w:val="0"/>
        <w:tabs>
          <w:tab w:val="left" w:pos="90"/>
        </w:tabs>
        <w:rPr>
          <w:u w:val="single"/>
        </w:rPr>
      </w:pPr>
      <w:r>
        <w:lastRenderedPageBreak/>
        <w:t>7</w:t>
      </w:r>
      <w:r w:rsidR="00671FEF" w:rsidRPr="00B2059C">
        <w:t>.</w:t>
      </w:r>
      <w:r w:rsidR="00671FEF" w:rsidRPr="00B2059C">
        <w:tab/>
      </w:r>
      <w:r w:rsidR="00671FEF" w:rsidRPr="00A35E58">
        <w:rPr>
          <w:u w:val="single"/>
        </w:rPr>
        <w:t>EXCEPTIONS</w:t>
      </w:r>
    </w:p>
    <w:p w14:paraId="5B6521C5" w14:textId="77777777" w:rsidR="00671FEF" w:rsidRDefault="00671FEF" w:rsidP="00671FEF">
      <w:pPr>
        <w:widowControl w:val="0"/>
      </w:pPr>
    </w:p>
    <w:p w14:paraId="5B6521C6" w14:textId="77777777" w:rsidR="00671FEF" w:rsidRDefault="00671FEF" w:rsidP="00671FEF">
      <w:pPr>
        <w:widowControl w:val="0"/>
        <w:ind w:left="720"/>
      </w:pPr>
      <w:r>
        <w:t>Any exception must be approved in writing through the chain of command by the Director.</w:t>
      </w:r>
    </w:p>
    <w:p w14:paraId="5B6521C7" w14:textId="77777777" w:rsidR="00671FEF" w:rsidRPr="00AE2E2F" w:rsidRDefault="00671FEF" w:rsidP="00671FEF">
      <w:pPr>
        <w:widowControl w:val="0"/>
      </w:pPr>
    </w:p>
    <w:p w14:paraId="5B6521C8" w14:textId="7003833A" w:rsidR="00364A06" w:rsidRDefault="00671FEF" w:rsidP="0035604A">
      <w:pPr>
        <w:widowControl w:val="0"/>
        <w:ind w:left="1440" w:hanging="1440"/>
        <w:jc w:val="center"/>
      </w:pPr>
      <w:r>
        <w:t>CONTACT</w:t>
      </w:r>
      <w:r w:rsidRPr="00253624">
        <w:t>:</w:t>
      </w:r>
      <w:r>
        <w:t xml:space="preserve">  </w:t>
      </w:r>
      <w:hyperlink r:id="rId12" w:history="1">
        <w:r w:rsidR="0080499E" w:rsidRPr="0080499E">
          <w:rPr>
            <w:rStyle w:val="Hyperlink"/>
          </w:rPr>
          <w:t>Purchasing Department Head</w:t>
        </w:r>
      </w:hyperlink>
      <w:r w:rsidR="0080499E">
        <w:t xml:space="preserve">, </w:t>
      </w:r>
      <w:r w:rsidR="00221674">
        <w:t>(</w:t>
      </w:r>
      <w:r w:rsidR="0080499E">
        <w:t>979</w:t>
      </w:r>
      <w:r w:rsidR="00221674">
        <w:t xml:space="preserve">) </w:t>
      </w:r>
      <w:r w:rsidR="0080499E">
        <w:t>458-</w:t>
      </w:r>
      <w:r w:rsidR="00221674">
        <w:t>7381</w:t>
      </w:r>
    </w:p>
    <w:sectPr w:rsidR="00364A06" w:rsidSect="00BA79F7">
      <w:footerReference w:type="default" r:id="rId13"/>
      <w:pgSz w:w="12240" w:h="15840" w:code="1"/>
      <w:pgMar w:top="1080" w:right="1440" w:bottom="126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21CD" w14:textId="77777777" w:rsidR="00D2405E" w:rsidRDefault="00D2405E">
      <w:r>
        <w:separator/>
      </w:r>
    </w:p>
  </w:endnote>
  <w:endnote w:type="continuationSeparator" w:id="0">
    <w:p w14:paraId="5B6521CE" w14:textId="77777777" w:rsidR="00D2405E" w:rsidRDefault="00D2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1D2" w14:textId="77777777" w:rsidR="002F6BE6" w:rsidRDefault="002F6BE6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96300">
      <w:rPr>
        <w:noProof/>
      </w:rPr>
      <w:t>3</w:t>
    </w:r>
    <w:r>
      <w:rPr>
        <w:noProof/>
      </w:rPr>
      <w:fldChar w:fldCharType="end"/>
    </w:r>
    <w:r>
      <w:t xml:space="preserve"> of </w:t>
    </w:r>
    <w:r w:rsidR="002C467F">
      <w:rPr>
        <w:noProof/>
      </w:rPr>
      <w:fldChar w:fldCharType="begin"/>
    </w:r>
    <w:r w:rsidR="002C467F">
      <w:rPr>
        <w:noProof/>
      </w:rPr>
      <w:instrText xml:space="preserve"> NUMPAGES </w:instrText>
    </w:r>
    <w:r w:rsidR="002C467F">
      <w:rPr>
        <w:noProof/>
      </w:rPr>
      <w:fldChar w:fldCharType="separate"/>
    </w:r>
    <w:r w:rsidR="00296300">
      <w:rPr>
        <w:noProof/>
      </w:rPr>
      <w:t>3</w:t>
    </w:r>
    <w:r w:rsidR="002C46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21CB" w14:textId="77777777" w:rsidR="00D2405E" w:rsidRDefault="00D2405E">
      <w:r>
        <w:separator/>
      </w:r>
    </w:p>
  </w:footnote>
  <w:footnote w:type="continuationSeparator" w:id="0">
    <w:p w14:paraId="5B6521CC" w14:textId="77777777" w:rsidR="00D2405E" w:rsidRDefault="00D2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7FAB"/>
    <w:multiLevelType w:val="hybridMultilevel"/>
    <w:tmpl w:val="1F4CF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1E0D74"/>
    <w:multiLevelType w:val="hybridMultilevel"/>
    <w:tmpl w:val="11BE02C8"/>
    <w:lvl w:ilvl="0" w:tplc="91641A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90319090">
    <w:abstractNumId w:val="1"/>
  </w:num>
  <w:num w:numId="2" w16cid:durableId="143728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UuC02v2SbR7NrnO2I1vNNHZgr3MlvPMJWmrMcla0fe1Dhe3lprHtOiG/2dnNYYPhzmaiRe+7ynEvUuxbIJnSQ==" w:salt="Mx7fbz1p52Z88KgDJ8b6/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10449"/>
    <w:rsid w:val="000104C6"/>
    <w:rsid w:val="00020469"/>
    <w:rsid w:val="00021D26"/>
    <w:rsid w:val="00022A00"/>
    <w:rsid w:val="00046BD2"/>
    <w:rsid w:val="00055BE6"/>
    <w:rsid w:val="00075E7C"/>
    <w:rsid w:val="000D57B9"/>
    <w:rsid w:val="000E5792"/>
    <w:rsid w:val="000E5E67"/>
    <w:rsid w:val="000E6C94"/>
    <w:rsid w:val="00112AF7"/>
    <w:rsid w:val="001152E8"/>
    <w:rsid w:val="001463B3"/>
    <w:rsid w:val="00164026"/>
    <w:rsid w:val="001A64FF"/>
    <w:rsid w:val="001D4DB1"/>
    <w:rsid w:val="001E3DF8"/>
    <w:rsid w:val="001F3A90"/>
    <w:rsid w:val="001F3FB8"/>
    <w:rsid w:val="00207FA6"/>
    <w:rsid w:val="00221674"/>
    <w:rsid w:val="002243C5"/>
    <w:rsid w:val="00263BC5"/>
    <w:rsid w:val="00270CF1"/>
    <w:rsid w:val="00277ACE"/>
    <w:rsid w:val="002909DA"/>
    <w:rsid w:val="00291111"/>
    <w:rsid w:val="00296300"/>
    <w:rsid w:val="002C467F"/>
    <w:rsid w:val="002C5FED"/>
    <w:rsid w:val="002C64C3"/>
    <w:rsid w:val="002C6994"/>
    <w:rsid w:val="002E554A"/>
    <w:rsid w:val="002E6653"/>
    <w:rsid w:val="002F649A"/>
    <w:rsid w:val="002F6BE6"/>
    <w:rsid w:val="00310599"/>
    <w:rsid w:val="003125CC"/>
    <w:rsid w:val="00324258"/>
    <w:rsid w:val="00341BB5"/>
    <w:rsid w:val="00350247"/>
    <w:rsid w:val="0035355F"/>
    <w:rsid w:val="0035604A"/>
    <w:rsid w:val="00364A06"/>
    <w:rsid w:val="00370879"/>
    <w:rsid w:val="003944DC"/>
    <w:rsid w:val="003C2DF5"/>
    <w:rsid w:val="003C2FB6"/>
    <w:rsid w:val="003D710F"/>
    <w:rsid w:val="003E080F"/>
    <w:rsid w:val="003E13EA"/>
    <w:rsid w:val="003F17A6"/>
    <w:rsid w:val="00425CA2"/>
    <w:rsid w:val="0043404F"/>
    <w:rsid w:val="0046423A"/>
    <w:rsid w:val="00464682"/>
    <w:rsid w:val="00477C72"/>
    <w:rsid w:val="00483E88"/>
    <w:rsid w:val="0048588F"/>
    <w:rsid w:val="004B42F1"/>
    <w:rsid w:val="004B5714"/>
    <w:rsid w:val="004B6193"/>
    <w:rsid w:val="004F78E1"/>
    <w:rsid w:val="0051027D"/>
    <w:rsid w:val="00512ADF"/>
    <w:rsid w:val="00513881"/>
    <w:rsid w:val="00521216"/>
    <w:rsid w:val="00523515"/>
    <w:rsid w:val="00534FA3"/>
    <w:rsid w:val="005533A6"/>
    <w:rsid w:val="005A4151"/>
    <w:rsid w:val="005B240E"/>
    <w:rsid w:val="005C01D0"/>
    <w:rsid w:val="005D19C0"/>
    <w:rsid w:val="005D71AA"/>
    <w:rsid w:val="00643D8E"/>
    <w:rsid w:val="0064718F"/>
    <w:rsid w:val="00671FEF"/>
    <w:rsid w:val="0067492D"/>
    <w:rsid w:val="0067739B"/>
    <w:rsid w:val="006A471C"/>
    <w:rsid w:val="006C5A05"/>
    <w:rsid w:val="006E0F8E"/>
    <w:rsid w:val="006E2410"/>
    <w:rsid w:val="006E4831"/>
    <w:rsid w:val="00705BBF"/>
    <w:rsid w:val="0072504D"/>
    <w:rsid w:val="0073425F"/>
    <w:rsid w:val="007614C2"/>
    <w:rsid w:val="00761B06"/>
    <w:rsid w:val="00773855"/>
    <w:rsid w:val="0078050E"/>
    <w:rsid w:val="00794E3D"/>
    <w:rsid w:val="007C0909"/>
    <w:rsid w:val="007E0096"/>
    <w:rsid w:val="007F78D7"/>
    <w:rsid w:val="0080136F"/>
    <w:rsid w:val="00803938"/>
    <w:rsid w:val="0080499E"/>
    <w:rsid w:val="00811BDD"/>
    <w:rsid w:val="00817435"/>
    <w:rsid w:val="00852B4A"/>
    <w:rsid w:val="00892C33"/>
    <w:rsid w:val="00896722"/>
    <w:rsid w:val="008A7B11"/>
    <w:rsid w:val="008D10FE"/>
    <w:rsid w:val="008E1B56"/>
    <w:rsid w:val="008E5674"/>
    <w:rsid w:val="00912CFC"/>
    <w:rsid w:val="0093607A"/>
    <w:rsid w:val="00946FD7"/>
    <w:rsid w:val="009C1C6E"/>
    <w:rsid w:val="009C2F2E"/>
    <w:rsid w:val="009E4583"/>
    <w:rsid w:val="009E6C19"/>
    <w:rsid w:val="009F504D"/>
    <w:rsid w:val="00A006D2"/>
    <w:rsid w:val="00A25DF1"/>
    <w:rsid w:val="00A35E58"/>
    <w:rsid w:val="00A43C89"/>
    <w:rsid w:val="00A62E11"/>
    <w:rsid w:val="00A7288D"/>
    <w:rsid w:val="00A9323F"/>
    <w:rsid w:val="00AA224D"/>
    <w:rsid w:val="00AA690E"/>
    <w:rsid w:val="00AA7301"/>
    <w:rsid w:val="00AE4279"/>
    <w:rsid w:val="00AF66CC"/>
    <w:rsid w:val="00B02893"/>
    <w:rsid w:val="00B17603"/>
    <w:rsid w:val="00B2059C"/>
    <w:rsid w:val="00B52DE2"/>
    <w:rsid w:val="00B67949"/>
    <w:rsid w:val="00B76405"/>
    <w:rsid w:val="00B80F23"/>
    <w:rsid w:val="00B81559"/>
    <w:rsid w:val="00BA79F7"/>
    <w:rsid w:val="00BB7658"/>
    <w:rsid w:val="00BC3168"/>
    <w:rsid w:val="00BD3E82"/>
    <w:rsid w:val="00C40F0F"/>
    <w:rsid w:val="00C450F5"/>
    <w:rsid w:val="00CF687F"/>
    <w:rsid w:val="00D022E6"/>
    <w:rsid w:val="00D11411"/>
    <w:rsid w:val="00D11C13"/>
    <w:rsid w:val="00D2405E"/>
    <w:rsid w:val="00D27E19"/>
    <w:rsid w:val="00DD7C39"/>
    <w:rsid w:val="00DE0487"/>
    <w:rsid w:val="00DF0E59"/>
    <w:rsid w:val="00E00129"/>
    <w:rsid w:val="00E06441"/>
    <w:rsid w:val="00E12B49"/>
    <w:rsid w:val="00E2552D"/>
    <w:rsid w:val="00E37B97"/>
    <w:rsid w:val="00E44DA3"/>
    <w:rsid w:val="00E54D22"/>
    <w:rsid w:val="00E56C06"/>
    <w:rsid w:val="00EA4929"/>
    <w:rsid w:val="00ED54E0"/>
    <w:rsid w:val="00EE5212"/>
    <w:rsid w:val="00EE6BD2"/>
    <w:rsid w:val="00EF1296"/>
    <w:rsid w:val="00F0612B"/>
    <w:rsid w:val="00F47EED"/>
    <w:rsid w:val="00F561A8"/>
    <w:rsid w:val="00F70A63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652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1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1FEF"/>
    <w:rPr>
      <w:color w:val="0000FF"/>
      <w:u w:val="single"/>
    </w:rPr>
  </w:style>
  <w:style w:type="paragraph" w:styleId="BodyTextIndent">
    <w:name w:val="Body Text Indent"/>
    <w:basedOn w:val="Normal"/>
    <w:rsid w:val="00671FEF"/>
    <w:pPr>
      <w:widowControl w:val="0"/>
      <w:ind w:left="720"/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671FEF"/>
    <w:pPr>
      <w:widowControl w:val="0"/>
      <w:ind w:left="1440" w:hanging="720"/>
      <w:jc w:val="both"/>
    </w:pPr>
    <w:rPr>
      <w:sz w:val="20"/>
      <w:szCs w:val="20"/>
    </w:rPr>
  </w:style>
  <w:style w:type="character" w:styleId="FollowedHyperlink">
    <w:name w:val="FollowedHyperlink"/>
    <w:basedOn w:val="DefaultParagraphFont"/>
    <w:rsid w:val="001A64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6BE6"/>
    <w:pPr>
      <w:ind w:left="720"/>
      <w:contextualSpacing/>
    </w:pPr>
  </w:style>
  <w:style w:type="paragraph" w:styleId="Revision">
    <w:name w:val="Revision"/>
    <w:hidden/>
    <w:uiPriority w:val="99"/>
    <w:semiHidden/>
    <w:rsid w:val="00221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x.cpa.state.tx.us/fm/pubs/purchase/state_emp/index.php?section=state_emp&amp;page=moving_expens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mith@tfs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fsfinance.tamu.edu/modules/finance/admin/procedures/Request%20for%20Personal%20Leav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mus.edu/assets/files/budgets-acct/pdf/MovingExpenseFA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mx.cpa.state.tx.us/fm/pubs/purchase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3718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4308</CharactersWithSpaces>
  <SharedDoc>false</SharedDoc>
  <HLinks>
    <vt:vector size="42" baseType="variant">
      <vt:variant>
        <vt:i4>3014731</vt:i4>
      </vt:variant>
      <vt:variant>
        <vt:i4>18</vt:i4>
      </vt:variant>
      <vt:variant>
        <vt:i4>0</vt:i4>
      </vt:variant>
      <vt:variant>
        <vt:i4>5</vt:i4>
      </vt:variant>
      <vt:variant>
        <vt:lpwstr>mailto:tzamzow@tfs.tamu.edu</vt:lpwstr>
      </vt:variant>
      <vt:variant>
        <vt:lpwstr/>
      </vt:variant>
      <vt:variant>
        <vt:i4>2097236</vt:i4>
      </vt:variant>
      <vt:variant>
        <vt:i4>15</vt:i4>
      </vt:variant>
      <vt:variant>
        <vt:i4>0</vt:i4>
      </vt:variant>
      <vt:variant>
        <vt:i4>5</vt:i4>
      </vt:variant>
      <vt:variant>
        <vt:lpwstr>mailto:dcumbie@tfs.tamu.edu</vt:lpwstr>
      </vt:variant>
      <vt:variant>
        <vt:lpwstr/>
      </vt:variant>
      <vt:variant>
        <vt:i4>8126589</vt:i4>
      </vt:variant>
      <vt:variant>
        <vt:i4>12</vt:i4>
      </vt:variant>
      <vt:variant>
        <vt:i4>0</vt:i4>
      </vt:variant>
      <vt:variant>
        <vt:i4>5</vt:i4>
      </vt:variant>
      <vt:variant>
        <vt:lpwstr>http://www.tamus.edu/offices/shro/benefits/</vt:lpwstr>
      </vt:variant>
      <vt:variant>
        <vt:lpwstr/>
      </vt:variant>
      <vt:variant>
        <vt:i4>5570636</vt:i4>
      </vt:variant>
      <vt:variant>
        <vt:i4>9</vt:i4>
      </vt:variant>
      <vt:variant>
        <vt:i4>0</vt:i4>
      </vt:variant>
      <vt:variant>
        <vt:i4>5</vt:i4>
      </vt:variant>
      <vt:variant>
        <vt:lpwstr>http://tfsfinance.tamu.edu/modules/finance/admin/procedures/Request for Personal Leave HR-48.doc</vt:lpwstr>
      </vt:variant>
      <vt:variant>
        <vt:lpwstr/>
      </vt:variant>
      <vt:variant>
        <vt:i4>6225935</vt:i4>
      </vt:variant>
      <vt:variant>
        <vt:i4>6</vt:i4>
      </vt:variant>
      <vt:variant>
        <vt:i4>0</vt:i4>
      </vt:variant>
      <vt:variant>
        <vt:i4>5</vt:i4>
      </vt:variant>
      <vt:variant>
        <vt:lpwstr>http://www.tamus.edu/offices/budgets-acct/documents/MovingExpenseFAQ.pdf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https://fmx.cpa.state.tx.us/fm/pubs/purchase/index.php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2023-04-03T13:04:00Z</dcterms:created>
  <dcterms:modified xsi:type="dcterms:W3CDTF">2023-04-03T13:04:00Z</dcterms:modified>
</cp:coreProperties>
</file>