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36E4" w14:textId="6A7388EB" w:rsidR="00946FD7" w:rsidRDefault="00D458B5" w:rsidP="00364A06">
      <w:pPr>
        <w:jc w:val="center"/>
      </w:pPr>
      <w:r>
        <w:rPr>
          <w:noProof/>
        </w:rPr>
        <w:drawing>
          <wp:inline distT="0" distB="0" distL="0" distR="0" wp14:anchorId="49998DD8" wp14:editId="144AEA06">
            <wp:extent cx="1828800" cy="409575"/>
            <wp:effectExtent l="0" t="0" r="0" b="9525"/>
            <wp:docPr id="2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774">
        <w:tab/>
      </w:r>
    </w:p>
    <w:p w14:paraId="107179D6" w14:textId="77777777" w:rsidR="00364A06" w:rsidRDefault="00364A06" w:rsidP="00364A06">
      <w:pPr>
        <w:jc w:val="center"/>
      </w:pPr>
    </w:p>
    <w:p w14:paraId="6C5BB246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14D315BA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837521" w14:paraId="638AB14D" w14:textId="77777777" w:rsidTr="00837521">
        <w:tc>
          <w:tcPr>
            <w:tcW w:w="5803" w:type="dxa"/>
          </w:tcPr>
          <w:p w14:paraId="00F54270" w14:textId="2B4A7953" w:rsidR="00364A06" w:rsidRPr="00837521" w:rsidRDefault="000C2F05" w:rsidP="00D206C4">
            <w:pPr>
              <w:ind w:left="624" w:hanging="624"/>
              <w:rPr>
                <w:b/>
              </w:rPr>
            </w:pPr>
            <w:r>
              <w:rPr>
                <w:b/>
              </w:rPr>
              <w:t>10</w:t>
            </w:r>
            <w:r w:rsidRPr="0096775F">
              <w:rPr>
                <w:b/>
              </w:rPr>
              <w:t>.</w:t>
            </w:r>
            <w:r>
              <w:rPr>
                <w:b/>
              </w:rPr>
              <w:t>27</w:t>
            </w:r>
            <w:r w:rsidRPr="0096775F">
              <w:rPr>
                <w:b/>
              </w:rPr>
              <w:t xml:space="preserve">  </w:t>
            </w:r>
            <w:r w:rsidR="002E03CD">
              <w:rPr>
                <w:b/>
              </w:rPr>
              <w:t>DEI Law</w:t>
            </w:r>
            <w:r>
              <w:rPr>
                <w:b/>
              </w:rPr>
              <w:t xml:space="preserve"> Compliance</w:t>
            </w:r>
          </w:p>
        </w:tc>
        <w:tc>
          <w:tcPr>
            <w:tcW w:w="3787" w:type="dxa"/>
          </w:tcPr>
          <w:p w14:paraId="5C026933" w14:textId="15E51A87" w:rsidR="00364A06" w:rsidRPr="00837521" w:rsidRDefault="00305C24" w:rsidP="009E50C2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0C2F05" w:rsidRPr="0096775F">
              <w:rPr>
                <w:b/>
              </w:rPr>
              <w:t xml:space="preserve">:  </w:t>
            </w:r>
            <w:r w:rsidR="002E03CD">
              <w:rPr>
                <w:b/>
              </w:rPr>
              <w:t xml:space="preserve">April </w:t>
            </w:r>
            <w:r>
              <w:rPr>
                <w:b/>
              </w:rPr>
              <w:t>17</w:t>
            </w:r>
            <w:r w:rsidR="000C2F05">
              <w:rPr>
                <w:b/>
              </w:rPr>
              <w:t>, 2024</w:t>
            </w:r>
          </w:p>
        </w:tc>
      </w:tr>
    </w:tbl>
    <w:p w14:paraId="3CC714A8" w14:textId="77777777" w:rsidR="000C2F05" w:rsidRDefault="000C2F05" w:rsidP="000C2F05"/>
    <w:p w14:paraId="3C70337E" w14:textId="77777777" w:rsidR="000C2F05" w:rsidRDefault="000C2F05" w:rsidP="000C2F05">
      <w:pPr>
        <w:widowControl w:val="0"/>
        <w:ind w:left="720" w:hanging="720"/>
        <w:rPr>
          <w:u w:val="single"/>
        </w:rPr>
      </w:pPr>
      <w:r>
        <w:t>1.</w:t>
      </w:r>
      <w:r>
        <w:tab/>
      </w:r>
      <w:r w:rsidRPr="002D51ED">
        <w:rPr>
          <w:u w:val="single"/>
        </w:rPr>
        <w:t>GOVERNING REGULATIONS</w:t>
      </w:r>
    </w:p>
    <w:p w14:paraId="37744709" w14:textId="77777777" w:rsidR="000C2F05" w:rsidRDefault="000C2F05" w:rsidP="000C2F05">
      <w:pPr>
        <w:widowControl w:val="0"/>
        <w:ind w:left="720" w:hanging="720"/>
        <w:rPr>
          <w:u w:val="single"/>
        </w:rPr>
      </w:pPr>
    </w:p>
    <w:p w14:paraId="02D5EB15" w14:textId="10C6DD33" w:rsidR="000C2F05" w:rsidRPr="002D51ED" w:rsidRDefault="000C2F05" w:rsidP="000C2F05">
      <w:pPr>
        <w:widowControl w:val="0"/>
        <w:ind w:left="702"/>
      </w:pPr>
      <w:r w:rsidRPr="002D51ED">
        <w:t>This procedure is governed by System Policy</w:t>
      </w:r>
      <w:r>
        <w:t xml:space="preserve"> </w:t>
      </w:r>
      <w:hyperlink r:id="rId9" w:history="1">
        <w:r w:rsidRPr="004B07F1">
          <w:rPr>
            <w:rStyle w:val="Hyperlink"/>
          </w:rPr>
          <w:t>08.01</w:t>
        </w:r>
      </w:hyperlink>
      <w:r>
        <w:t xml:space="preserve"> </w:t>
      </w:r>
      <w:r w:rsidRPr="008004D7">
        <w:rPr>
          <w:i/>
          <w:iCs/>
        </w:rPr>
        <w:t xml:space="preserve">Civil Rights </w:t>
      </w:r>
      <w:r w:rsidR="00527DF6">
        <w:rPr>
          <w:i/>
          <w:iCs/>
        </w:rPr>
        <w:t xml:space="preserve">Protections and </w:t>
      </w:r>
      <w:r w:rsidRPr="008004D7">
        <w:rPr>
          <w:i/>
          <w:iCs/>
        </w:rPr>
        <w:t>Compliance</w:t>
      </w:r>
      <w:r>
        <w:t xml:space="preserve">, System Regulation </w:t>
      </w:r>
      <w:hyperlink r:id="rId10" w:history="1">
        <w:r w:rsidRPr="004B07F1">
          <w:rPr>
            <w:rStyle w:val="Hyperlink"/>
          </w:rPr>
          <w:t>08.01.01</w:t>
        </w:r>
      </w:hyperlink>
      <w:r>
        <w:t xml:space="preserve"> </w:t>
      </w:r>
      <w:r w:rsidRPr="008004D7">
        <w:rPr>
          <w:i/>
          <w:iCs/>
        </w:rPr>
        <w:t>Civil Rights Compliance</w:t>
      </w:r>
      <w:r>
        <w:t xml:space="preserve">, and </w:t>
      </w:r>
      <w:r w:rsidR="002E03CD">
        <w:t>t</w:t>
      </w:r>
      <w:r>
        <w:t xml:space="preserve">he System Ethics and Compliance Office </w:t>
      </w:r>
      <w:r w:rsidRPr="008004D7">
        <w:rPr>
          <w:i/>
          <w:iCs/>
        </w:rPr>
        <w:t>D</w:t>
      </w:r>
      <w:r w:rsidR="00862832">
        <w:rPr>
          <w:i/>
          <w:iCs/>
        </w:rPr>
        <w:t>.</w:t>
      </w:r>
      <w:r w:rsidRPr="008004D7">
        <w:rPr>
          <w:i/>
          <w:iCs/>
        </w:rPr>
        <w:t>E</w:t>
      </w:r>
      <w:r w:rsidR="00862832">
        <w:rPr>
          <w:i/>
          <w:iCs/>
        </w:rPr>
        <w:t>.</w:t>
      </w:r>
      <w:r w:rsidRPr="008004D7">
        <w:rPr>
          <w:i/>
          <w:iCs/>
        </w:rPr>
        <w:t>I</w:t>
      </w:r>
      <w:r w:rsidR="00862832">
        <w:rPr>
          <w:i/>
          <w:iCs/>
        </w:rPr>
        <w:t>.</w:t>
      </w:r>
      <w:r w:rsidRPr="008004D7">
        <w:rPr>
          <w:i/>
          <w:iCs/>
        </w:rPr>
        <w:t xml:space="preserve"> Compliance Operational Manual</w:t>
      </w:r>
      <w:r>
        <w:t>.</w:t>
      </w:r>
    </w:p>
    <w:p w14:paraId="63A82AB1" w14:textId="77777777" w:rsidR="000C2F05" w:rsidRDefault="000C2F05" w:rsidP="000C2F05">
      <w:pPr>
        <w:widowControl w:val="0"/>
        <w:ind w:left="720" w:hanging="720"/>
      </w:pPr>
    </w:p>
    <w:p w14:paraId="457AACA2" w14:textId="77777777" w:rsidR="000C2F05" w:rsidRDefault="000C2F05" w:rsidP="000C2F05">
      <w:pPr>
        <w:widowControl w:val="0"/>
        <w:ind w:left="720" w:hanging="720"/>
      </w:pPr>
      <w:r>
        <w:t>2.</w:t>
      </w:r>
      <w:r>
        <w:tab/>
      </w:r>
      <w:r w:rsidRPr="00744C7B">
        <w:rPr>
          <w:u w:val="single"/>
        </w:rPr>
        <w:t>PURPOSE</w:t>
      </w:r>
    </w:p>
    <w:p w14:paraId="0E3D95A7" w14:textId="77777777" w:rsidR="000C2F05" w:rsidRDefault="000C2F05" w:rsidP="000C2F05">
      <w:pPr>
        <w:widowControl w:val="0"/>
        <w:ind w:left="720" w:hanging="720"/>
      </w:pPr>
    </w:p>
    <w:p w14:paraId="6BA2D020" w14:textId="77777777" w:rsidR="000C2F05" w:rsidRDefault="000C2F05" w:rsidP="000C2F05">
      <w:pPr>
        <w:widowControl w:val="0"/>
        <w:ind w:left="720"/>
      </w:pPr>
      <w:r>
        <w:t xml:space="preserve">This procedure helps ensure that the Texas A&amp;M Forest Service is in compliance with Texas Education Code 51.3525 (DEI Law) as implemented by System Policy 08.01 </w:t>
      </w:r>
      <w:r w:rsidRPr="004B07F1">
        <w:rPr>
          <w:i/>
          <w:iCs/>
        </w:rPr>
        <w:t>Civil Rights Compliance and Protections</w:t>
      </w:r>
      <w:r>
        <w:t>.</w:t>
      </w:r>
    </w:p>
    <w:p w14:paraId="60175F1F" w14:textId="77777777" w:rsidR="000C2F05" w:rsidRDefault="000C2F05" w:rsidP="000C2F05">
      <w:pPr>
        <w:widowControl w:val="0"/>
        <w:ind w:left="1440" w:hanging="720"/>
      </w:pPr>
    </w:p>
    <w:p w14:paraId="7BA92012" w14:textId="77777777" w:rsidR="000C2F05" w:rsidRDefault="000C2F05" w:rsidP="000C2F05">
      <w:pPr>
        <w:widowControl w:val="0"/>
      </w:pPr>
    </w:p>
    <w:p w14:paraId="22403D64" w14:textId="77777777" w:rsidR="000C2F05" w:rsidRDefault="000C2F05" w:rsidP="000C2F05">
      <w:pPr>
        <w:widowControl w:val="0"/>
        <w:ind w:left="720" w:hanging="720"/>
      </w:pPr>
      <w:r>
        <w:t>3.</w:t>
      </w:r>
      <w:r>
        <w:tab/>
      </w:r>
      <w:r w:rsidRPr="004B07F1">
        <w:rPr>
          <w:u w:val="single"/>
        </w:rPr>
        <w:t>RESPONSIBILITIES</w:t>
      </w:r>
    </w:p>
    <w:p w14:paraId="157FD9B5" w14:textId="77777777" w:rsidR="000C2F05" w:rsidRDefault="000C2F05" w:rsidP="000C2F05">
      <w:pPr>
        <w:widowControl w:val="0"/>
        <w:ind w:left="720" w:hanging="720"/>
      </w:pPr>
    </w:p>
    <w:p w14:paraId="64CFA6F4" w14:textId="77777777" w:rsidR="000C2F05" w:rsidRDefault="000C2F05" w:rsidP="000C2F05">
      <w:pPr>
        <w:widowControl w:val="0"/>
        <w:ind w:left="1440" w:hanging="720"/>
      </w:pPr>
      <w:r>
        <w:t>3.1</w:t>
      </w:r>
      <w:r>
        <w:tab/>
        <w:t>The agency Director is responsible for ensuring annual compliance with the DEI Law, as implemented by System Policy 08.01.</w:t>
      </w:r>
    </w:p>
    <w:p w14:paraId="0D44D34F" w14:textId="77777777" w:rsidR="000C2F05" w:rsidRDefault="000C2F05" w:rsidP="000C2F05">
      <w:pPr>
        <w:widowControl w:val="0"/>
        <w:ind w:left="720" w:hanging="720"/>
      </w:pPr>
    </w:p>
    <w:p w14:paraId="1330A862" w14:textId="77777777" w:rsidR="00221998" w:rsidRDefault="000C2F05" w:rsidP="00221998">
      <w:pPr>
        <w:widowControl w:val="0"/>
        <w:ind w:left="1440" w:hanging="720"/>
      </w:pPr>
      <w:r>
        <w:t>3.2</w:t>
      </w:r>
      <w:r>
        <w:tab/>
      </w:r>
      <w:r w:rsidR="00221998">
        <w:t>The Compliance Coordinator in the Office of Finance and Administration serves as the party responsible for the facilitation and assurance of the agency’s compliance with the DEI Law.</w:t>
      </w:r>
    </w:p>
    <w:p w14:paraId="4CB8786A" w14:textId="77777777" w:rsidR="00221998" w:rsidRDefault="00221998" w:rsidP="00221998">
      <w:pPr>
        <w:widowControl w:val="0"/>
        <w:ind w:left="720" w:hanging="720"/>
      </w:pPr>
    </w:p>
    <w:p w14:paraId="5F1BB008" w14:textId="7CFE6B9D" w:rsidR="00221998" w:rsidRDefault="00221998" w:rsidP="00221998">
      <w:pPr>
        <w:widowControl w:val="0"/>
        <w:ind w:left="1440" w:hanging="720"/>
      </w:pPr>
      <w:r>
        <w:t>3.3</w:t>
      </w:r>
      <w:r>
        <w:tab/>
      </w:r>
      <w:r w:rsidR="000C2F05">
        <w:t>All agency employees are expected to comply with System Policy 08.01 and its delineated prohibitions</w:t>
      </w:r>
      <w:r w:rsidR="002E03CD">
        <w:t xml:space="preserve"> and</w:t>
      </w:r>
      <w:r w:rsidR="000C2F05">
        <w:t xml:space="preserve"> to ensure that no </w:t>
      </w:r>
      <w:r w:rsidR="00862832">
        <w:t xml:space="preserve">agency </w:t>
      </w:r>
      <w:r w:rsidR="000C2F05">
        <w:t xml:space="preserve">support or resources are delivered or conditioned on the basis of race, </w:t>
      </w:r>
      <w:r w:rsidR="002E03CD">
        <w:t xml:space="preserve">sex, </w:t>
      </w:r>
      <w:r w:rsidR="00527DF6">
        <w:t xml:space="preserve">color, or </w:t>
      </w:r>
      <w:r w:rsidR="000C2F05">
        <w:t>ethnicity.</w:t>
      </w:r>
    </w:p>
    <w:p w14:paraId="3E39494E" w14:textId="77777777" w:rsidR="000C2F05" w:rsidRDefault="000C2F05" w:rsidP="000C2F05">
      <w:pPr>
        <w:widowControl w:val="0"/>
        <w:ind w:left="720" w:hanging="720"/>
      </w:pPr>
    </w:p>
    <w:p w14:paraId="36BE1698" w14:textId="27E7D374" w:rsidR="000C2F05" w:rsidRDefault="000C2F05" w:rsidP="000C2F05">
      <w:pPr>
        <w:widowControl w:val="0"/>
        <w:ind w:left="720" w:hanging="720"/>
      </w:pPr>
      <w:r>
        <w:t>4.</w:t>
      </w:r>
      <w:r>
        <w:tab/>
      </w:r>
      <w:r w:rsidR="00221998">
        <w:rPr>
          <w:u w:val="single"/>
        </w:rPr>
        <w:t>PROCESS</w:t>
      </w:r>
    </w:p>
    <w:p w14:paraId="35759638" w14:textId="77777777" w:rsidR="000C2F05" w:rsidRPr="00832393" w:rsidRDefault="000C2F05" w:rsidP="000C2F05">
      <w:pPr>
        <w:widowControl w:val="0"/>
        <w:ind w:left="720" w:hanging="720"/>
      </w:pPr>
    </w:p>
    <w:p w14:paraId="0DED170C" w14:textId="5A6BDA20" w:rsidR="000C2F05" w:rsidRDefault="00221998" w:rsidP="00D92065">
      <w:pPr>
        <w:widowControl w:val="0"/>
        <w:ind w:left="1440" w:hanging="720"/>
      </w:pPr>
      <w:r>
        <w:t>4.1</w:t>
      </w:r>
      <w:r>
        <w:tab/>
      </w:r>
      <w:r w:rsidR="000C2F05">
        <w:t xml:space="preserve">The Compliance Coordinator will follow the System Ethics and Compliance Office </w:t>
      </w:r>
      <w:r w:rsidR="002E03CD">
        <w:t xml:space="preserve">(SECO) </w:t>
      </w:r>
      <w:r w:rsidR="000C2F05" w:rsidRPr="00862832">
        <w:rPr>
          <w:i/>
          <w:iCs/>
        </w:rPr>
        <w:t>DEI Compliance Operational Manual</w:t>
      </w:r>
      <w:r w:rsidR="000C2F05">
        <w:t xml:space="preserve"> to </w:t>
      </w:r>
      <w:r w:rsidR="002E03CD">
        <w:t xml:space="preserve">conduct annual reviews of </w:t>
      </w:r>
      <w:r w:rsidR="000C2F05">
        <w:t>all areas and activities of the agency to ensure compliance with the DEI Law.</w:t>
      </w:r>
      <w:r w:rsidR="002E03CD">
        <w:t xml:space="preserve"> These reviews will be done with the assistance of and coordination with the Executive Team</w:t>
      </w:r>
      <w:r w:rsidR="008A51B0">
        <w:t>,</w:t>
      </w:r>
      <w:r w:rsidR="002E03CD">
        <w:t xml:space="preserve"> </w:t>
      </w:r>
      <w:r w:rsidR="00F2372F">
        <w:t>D</w:t>
      </w:r>
      <w:r w:rsidR="002E03CD">
        <w:t xml:space="preserve">epartment </w:t>
      </w:r>
      <w:r w:rsidR="00F2372F">
        <w:t>H</w:t>
      </w:r>
      <w:r w:rsidR="002E03CD">
        <w:t>eads</w:t>
      </w:r>
      <w:r w:rsidR="008A51B0">
        <w:t xml:space="preserve"> and other appropriate staff</w:t>
      </w:r>
      <w:r w:rsidR="002E03CD">
        <w:t>.</w:t>
      </w:r>
    </w:p>
    <w:p w14:paraId="5B99CD46" w14:textId="77777777" w:rsidR="000C2F05" w:rsidRPr="0096669C" w:rsidRDefault="000C2F05" w:rsidP="000C2F05">
      <w:pPr>
        <w:widowControl w:val="0"/>
        <w:ind w:left="720" w:hanging="720"/>
      </w:pPr>
    </w:p>
    <w:p w14:paraId="0D6FE57F" w14:textId="7F85DE9B" w:rsidR="000C2F05" w:rsidRDefault="00221998" w:rsidP="00F2372F">
      <w:pPr>
        <w:widowControl w:val="0"/>
        <w:ind w:left="1440" w:hanging="720"/>
      </w:pPr>
      <w:r>
        <w:t>4.2</w:t>
      </w:r>
      <w:r>
        <w:tab/>
      </w:r>
      <w:r w:rsidR="00F2372F">
        <w:t xml:space="preserve">The Compliance Coordinator will participate in SECO’s annual DEI Compliance Training and will provide this training to the Executive Team and Department Heads </w:t>
      </w:r>
      <w:r w:rsidR="00D92065">
        <w:t>annually</w:t>
      </w:r>
      <w:r w:rsidR="00F2372F">
        <w:t>.</w:t>
      </w:r>
    </w:p>
    <w:p w14:paraId="793E580F" w14:textId="77777777" w:rsidR="000C2F05" w:rsidRDefault="000C2F05" w:rsidP="000C2F05">
      <w:pPr>
        <w:widowControl w:val="0"/>
      </w:pPr>
    </w:p>
    <w:p w14:paraId="6C770F79" w14:textId="77777777" w:rsidR="00D92065" w:rsidRDefault="00D92065">
      <w:r>
        <w:br w:type="page"/>
      </w:r>
    </w:p>
    <w:p w14:paraId="169D27AC" w14:textId="77777777" w:rsidR="005D2022" w:rsidRDefault="00EA3062" w:rsidP="000C2F05">
      <w:pPr>
        <w:widowControl w:val="0"/>
      </w:pPr>
      <w:r w:rsidRPr="00EA3062">
        <w:lastRenderedPageBreak/>
        <w:t>5.</w:t>
      </w:r>
      <w:r w:rsidRPr="00EA3062">
        <w:tab/>
      </w:r>
      <w:r w:rsidR="005D2022" w:rsidRPr="00E56297">
        <w:rPr>
          <w:u w:val="single"/>
        </w:rPr>
        <w:t>MONITORING</w:t>
      </w:r>
    </w:p>
    <w:p w14:paraId="5E22FFF1" w14:textId="77777777" w:rsidR="005D2022" w:rsidRDefault="005D2022" w:rsidP="000C2F05">
      <w:pPr>
        <w:widowControl w:val="0"/>
      </w:pPr>
    </w:p>
    <w:p w14:paraId="6B28961A" w14:textId="46D0E024" w:rsidR="006819F8" w:rsidRDefault="006819F8" w:rsidP="00E56297">
      <w:pPr>
        <w:pStyle w:val="ListParagraph"/>
        <w:widowControl w:val="0"/>
        <w:ind w:left="1440" w:hanging="720"/>
      </w:pPr>
      <w:r>
        <w:t>5.1</w:t>
      </w:r>
      <w:r>
        <w:tab/>
        <w:t xml:space="preserve">Throughout the year </w:t>
      </w:r>
      <w:r w:rsidR="00765DAC">
        <w:t>the identified d</w:t>
      </w:r>
      <w:r>
        <w:t xml:space="preserve">epartments </w:t>
      </w:r>
      <w:r w:rsidR="00347A38">
        <w:t xml:space="preserve">and </w:t>
      </w:r>
      <w:r w:rsidR="00765DAC">
        <w:t>offices</w:t>
      </w:r>
      <w:r w:rsidR="00347A38">
        <w:t xml:space="preserve"> </w:t>
      </w:r>
      <w:r>
        <w:t xml:space="preserve">will </w:t>
      </w:r>
      <w:r w:rsidR="00765DAC">
        <w:t xml:space="preserve">perform the following </w:t>
      </w:r>
      <w:r w:rsidR="004B360A">
        <w:t>monitoring</w:t>
      </w:r>
      <w:r>
        <w:t xml:space="preserve"> processes to </w:t>
      </w:r>
      <w:r w:rsidR="00765DAC">
        <w:t xml:space="preserve">identify and address </w:t>
      </w:r>
      <w:r w:rsidR="00347A38">
        <w:t>potential violations of</w:t>
      </w:r>
      <w:r>
        <w:t xml:space="preserve"> the DEI Law.</w:t>
      </w:r>
      <w:r w:rsidR="00347A38">
        <w:t xml:space="preserve">  Anything discovered that is non-compliant with the DEI Law will be reported to the Compliance Coordinator.</w:t>
      </w:r>
    </w:p>
    <w:p w14:paraId="6BDB334A" w14:textId="77777777" w:rsidR="006819F8" w:rsidRDefault="006819F8" w:rsidP="00F601EB">
      <w:pPr>
        <w:pStyle w:val="ListParagraph"/>
        <w:widowControl w:val="0"/>
      </w:pPr>
    </w:p>
    <w:p w14:paraId="0E2BA7D1" w14:textId="08276C9F" w:rsidR="006819F8" w:rsidRDefault="006819F8" w:rsidP="00E56297">
      <w:pPr>
        <w:pStyle w:val="ListParagraph"/>
        <w:widowControl w:val="0"/>
        <w:ind w:left="2160" w:hanging="720"/>
      </w:pPr>
      <w:r>
        <w:t>5.</w:t>
      </w:r>
      <w:r w:rsidR="00765DAC">
        <w:t>1</w:t>
      </w:r>
      <w:r>
        <w:t>.1</w:t>
      </w:r>
      <w:r>
        <w:tab/>
        <w:t xml:space="preserve">The Budgets and Accounting department </w:t>
      </w:r>
      <w:r w:rsidR="00F601EB">
        <w:t xml:space="preserve">will identify </w:t>
      </w:r>
      <w:r w:rsidR="00765DAC">
        <w:t xml:space="preserve">and address </w:t>
      </w:r>
      <w:r w:rsidR="00F601EB">
        <w:t xml:space="preserve">any DEI related </w:t>
      </w:r>
      <w:r w:rsidR="00765DAC">
        <w:t>content</w:t>
      </w:r>
      <w:r w:rsidR="00F601EB">
        <w:t xml:space="preserve"> in their </w:t>
      </w:r>
      <w:r>
        <w:t>reviews</w:t>
      </w:r>
      <w:r w:rsidR="00F601EB">
        <w:t xml:space="preserve"> of</w:t>
      </w:r>
      <w:r>
        <w:t xml:space="preserve"> titles, locations, departments and funding sources prior to opening any new accounts or changing </w:t>
      </w:r>
      <w:r w:rsidR="00765DAC">
        <w:t>existing</w:t>
      </w:r>
      <w:r>
        <w:t xml:space="preserve"> accounts.</w:t>
      </w:r>
    </w:p>
    <w:p w14:paraId="47CE25E1" w14:textId="77777777" w:rsidR="006819F8" w:rsidRDefault="006819F8" w:rsidP="00F601EB">
      <w:pPr>
        <w:pStyle w:val="ListParagraph"/>
        <w:widowControl w:val="0"/>
      </w:pPr>
    </w:p>
    <w:p w14:paraId="55090183" w14:textId="70EDF1C8" w:rsidR="006819F8" w:rsidRDefault="006819F8" w:rsidP="00F601EB">
      <w:pPr>
        <w:pStyle w:val="ListParagraph"/>
        <w:widowControl w:val="0"/>
        <w:ind w:left="2160" w:hanging="720"/>
      </w:pPr>
      <w:r>
        <w:t>5.</w:t>
      </w:r>
      <w:r w:rsidR="00765DAC">
        <w:t>1</w:t>
      </w:r>
      <w:r>
        <w:t>.2</w:t>
      </w:r>
      <w:r>
        <w:tab/>
      </w:r>
      <w:r w:rsidR="004B360A">
        <w:t xml:space="preserve">The Employment Development department in coordination with AgriLife Human Resources </w:t>
      </w:r>
      <w:r w:rsidR="00765DAC">
        <w:t xml:space="preserve">will </w:t>
      </w:r>
      <w:r w:rsidR="00F601EB">
        <w:t xml:space="preserve">identify </w:t>
      </w:r>
      <w:r w:rsidR="00765DAC">
        <w:t xml:space="preserve">and address </w:t>
      </w:r>
      <w:r w:rsidR="00F601EB">
        <w:t xml:space="preserve">any DEI related </w:t>
      </w:r>
      <w:r w:rsidR="00765DAC">
        <w:t>content</w:t>
      </w:r>
      <w:r w:rsidR="00F601EB">
        <w:t xml:space="preserve"> in their </w:t>
      </w:r>
      <w:r w:rsidR="004B360A">
        <w:t xml:space="preserve">reviews </w:t>
      </w:r>
      <w:r w:rsidR="00F601EB">
        <w:t>of personnel related act</w:t>
      </w:r>
      <w:r w:rsidR="00765DAC">
        <w:t>ivity,</w:t>
      </w:r>
      <w:r w:rsidR="00F601EB">
        <w:t xml:space="preserve"> to include </w:t>
      </w:r>
      <w:r w:rsidR="004B360A">
        <w:t>job profiles</w:t>
      </w:r>
      <w:r w:rsidR="00765DAC">
        <w:t xml:space="preserve"> and</w:t>
      </w:r>
      <w:r w:rsidR="004B360A">
        <w:t xml:space="preserve"> titles, hiring </w:t>
      </w:r>
      <w:r w:rsidR="00765DAC">
        <w:t>process documents</w:t>
      </w:r>
      <w:r w:rsidR="004B360A">
        <w:t>, performance evaluations and training materials.</w:t>
      </w:r>
    </w:p>
    <w:p w14:paraId="203A4EC5" w14:textId="77777777" w:rsidR="004B360A" w:rsidRDefault="004B360A" w:rsidP="00F601EB">
      <w:pPr>
        <w:pStyle w:val="ListParagraph"/>
        <w:widowControl w:val="0"/>
        <w:ind w:left="2160" w:hanging="720"/>
      </w:pPr>
    </w:p>
    <w:p w14:paraId="47A2F619" w14:textId="11C5331C" w:rsidR="004B360A" w:rsidRDefault="004B360A" w:rsidP="00F601EB">
      <w:pPr>
        <w:pStyle w:val="ListParagraph"/>
        <w:widowControl w:val="0"/>
        <w:ind w:left="2160" w:hanging="720"/>
      </w:pPr>
      <w:r>
        <w:t>5.</w:t>
      </w:r>
      <w:r w:rsidR="00765DAC">
        <w:t>1</w:t>
      </w:r>
      <w:r>
        <w:t>.3</w:t>
      </w:r>
      <w:r>
        <w:tab/>
        <w:t xml:space="preserve">The Information Resources department </w:t>
      </w:r>
      <w:r w:rsidR="0012660A">
        <w:t xml:space="preserve">and unit content managers </w:t>
      </w:r>
      <w:r w:rsidR="00F601EB">
        <w:t xml:space="preserve">will identify </w:t>
      </w:r>
      <w:r w:rsidR="00765DAC">
        <w:t xml:space="preserve">and address </w:t>
      </w:r>
      <w:r w:rsidR="00F601EB">
        <w:t xml:space="preserve">any DEI related </w:t>
      </w:r>
      <w:r w:rsidR="00765DAC">
        <w:t>content</w:t>
      </w:r>
      <w:r w:rsidR="00F601EB">
        <w:t xml:space="preserve"> in their </w:t>
      </w:r>
      <w:r>
        <w:t xml:space="preserve">reviews </w:t>
      </w:r>
      <w:r w:rsidR="00F601EB">
        <w:t xml:space="preserve">of </w:t>
      </w:r>
      <w:r w:rsidR="00765DAC">
        <w:t xml:space="preserve">new or existing </w:t>
      </w:r>
      <w:r>
        <w:t>website content.</w:t>
      </w:r>
    </w:p>
    <w:p w14:paraId="66042E3D" w14:textId="77777777" w:rsidR="004B360A" w:rsidRDefault="004B360A" w:rsidP="00F601EB">
      <w:pPr>
        <w:pStyle w:val="ListParagraph"/>
        <w:widowControl w:val="0"/>
        <w:ind w:left="2160" w:hanging="720"/>
      </w:pPr>
    </w:p>
    <w:p w14:paraId="1319E594" w14:textId="5F15DF23" w:rsidR="004B360A" w:rsidRDefault="004B360A" w:rsidP="00F601EB">
      <w:pPr>
        <w:pStyle w:val="ListParagraph"/>
        <w:widowControl w:val="0"/>
        <w:ind w:left="2160" w:hanging="720"/>
      </w:pPr>
      <w:r>
        <w:t>5.</w:t>
      </w:r>
      <w:r w:rsidR="00765DAC">
        <w:t>1</w:t>
      </w:r>
      <w:r>
        <w:t>.4</w:t>
      </w:r>
      <w:r>
        <w:tab/>
        <w:t xml:space="preserve">The Communications </w:t>
      </w:r>
      <w:r w:rsidR="00765DAC">
        <w:t>office</w:t>
      </w:r>
      <w:r>
        <w:t xml:space="preserve"> </w:t>
      </w:r>
      <w:r w:rsidR="00F601EB">
        <w:t>will identify an</w:t>
      </w:r>
      <w:r w:rsidR="00765DAC">
        <w:t>d</w:t>
      </w:r>
      <w:r w:rsidR="00F601EB">
        <w:t xml:space="preserve"> </w:t>
      </w:r>
      <w:r w:rsidR="00765DAC">
        <w:t xml:space="preserve">address any </w:t>
      </w:r>
      <w:r w:rsidR="00F601EB">
        <w:t xml:space="preserve">DEI related </w:t>
      </w:r>
      <w:r w:rsidR="00765DAC">
        <w:t>content</w:t>
      </w:r>
      <w:r w:rsidR="00F601EB">
        <w:t xml:space="preserve"> in their </w:t>
      </w:r>
      <w:r>
        <w:t xml:space="preserve">reviews </w:t>
      </w:r>
      <w:r w:rsidR="00F601EB">
        <w:t xml:space="preserve">of </w:t>
      </w:r>
      <w:r w:rsidR="00765DAC">
        <w:t xml:space="preserve">new or existing </w:t>
      </w:r>
      <w:r>
        <w:t xml:space="preserve">content and links </w:t>
      </w:r>
      <w:r w:rsidR="00765DAC">
        <w:t xml:space="preserve">on </w:t>
      </w:r>
      <w:r>
        <w:t>social media sites.</w:t>
      </w:r>
    </w:p>
    <w:p w14:paraId="7C7A958B" w14:textId="77777777" w:rsidR="004B360A" w:rsidRDefault="004B360A" w:rsidP="00F601EB">
      <w:pPr>
        <w:pStyle w:val="ListParagraph"/>
        <w:widowControl w:val="0"/>
        <w:ind w:left="2160" w:hanging="720"/>
      </w:pPr>
    </w:p>
    <w:p w14:paraId="6695FC2C" w14:textId="268AB995" w:rsidR="004B360A" w:rsidRDefault="004B360A" w:rsidP="00F601EB">
      <w:pPr>
        <w:pStyle w:val="ListParagraph"/>
        <w:widowControl w:val="0"/>
        <w:ind w:left="2160" w:hanging="720"/>
      </w:pPr>
      <w:r>
        <w:t>5.</w:t>
      </w:r>
      <w:r w:rsidR="00765DAC">
        <w:t>1</w:t>
      </w:r>
      <w:r>
        <w:t>.5</w:t>
      </w:r>
      <w:r>
        <w:tab/>
        <w:t xml:space="preserve">The Policy </w:t>
      </w:r>
      <w:r w:rsidR="0012660A">
        <w:t>&amp; Review</w:t>
      </w:r>
      <w:r>
        <w:t xml:space="preserve"> Coordinator </w:t>
      </w:r>
      <w:r w:rsidR="00F601EB">
        <w:t xml:space="preserve">will identify </w:t>
      </w:r>
      <w:r w:rsidR="00765DAC">
        <w:t xml:space="preserve">and address </w:t>
      </w:r>
      <w:r w:rsidR="00F601EB">
        <w:t xml:space="preserve">any DEI related </w:t>
      </w:r>
      <w:r w:rsidR="00765DAC">
        <w:t>content</w:t>
      </w:r>
      <w:r w:rsidR="00F601EB">
        <w:t xml:space="preserve"> in the </w:t>
      </w:r>
      <w:r>
        <w:t>review</w:t>
      </w:r>
      <w:r w:rsidR="00F601EB">
        <w:t xml:space="preserve"> of all</w:t>
      </w:r>
      <w:r>
        <w:t xml:space="preserve"> agency rules, administrative procedures, guidelines and forms</w:t>
      </w:r>
      <w:r w:rsidR="00160D51">
        <w:t xml:space="preserve"> </w:t>
      </w:r>
      <w:r w:rsidR="00765DAC">
        <w:t>to be added or updated</w:t>
      </w:r>
      <w:r w:rsidR="00160D51">
        <w:t>.</w:t>
      </w:r>
    </w:p>
    <w:p w14:paraId="0003DBEC" w14:textId="2F189173" w:rsidR="00765DAC" w:rsidRDefault="00765DAC" w:rsidP="00F601EB">
      <w:pPr>
        <w:pStyle w:val="ListParagraph"/>
        <w:widowControl w:val="0"/>
        <w:ind w:left="2160" w:hanging="720"/>
      </w:pPr>
    </w:p>
    <w:p w14:paraId="5C90C2C4" w14:textId="3EE53906" w:rsidR="00765DAC" w:rsidRDefault="00765DAC" w:rsidP="00F601EB">
      <w:pPr>
        <w:pStyle w:val="ListParagraph"/>
        <w:widowControl w:val="0"/>
        <w:ind w:left="2160" w:hanging="720"/>
      </w:pPr>
      <w:r>
        <w:t>5.1.6</w:t>
      </w:r>
      <w:r>
        <w:tab/>
        <w:t>Members of senior leadership will identify and address any DEI content in documents (administrative or programmatic) they review or approve.</w:t>
      </w:r>
    </w:p>
    <w:p w14:paraId="0F9A7B29" w14:textId="4B85590E" w:rsidR="004B360A" w:rsidRDefault="004B360A">
      <w:pPr>
        <w:pStyle w:val="ListParagraph"/>
        <w:widowControl w:val="0"/>
        <w:ind w:left="2160" w:hanging="720"/>
      </w:pPr>
    </w:p>
    <w:p w14:paraId="4EAFACB9" w14:textId="67D9CC2D" w:rsidR="00765DAC" w:rsidRDefault="00765DAC" w:rsidP="00765DAC">
      <w:pPr>
        <w:widowControl w:val="0"/>
        <w:ind w:left="1440" w:hanging="720"/>
      </w:pPr>
      <w:r>
        <w:t>5.2</w:t>
      </w:r>
      <w:r>
        <w:tab/>
        <w:t>Bi-annually, the Compliance Coordinator will perform reviews of the following areas to identify and address any DEI</w:t>
      </w:r>
      <w:r w:rsidR="0012660A">
        <w:t xml:space="preserve"> related</w:t>
      </w:r>
      <w:r>
        <w:t xml:space="preserve"> content:</w:t>
      </w:r>
    </w:p>
    <w:p w14:paraId="44821C02" w14:textId="77777777" w:rsidR="00765DAC" w:rsidRDefault="00765DAC" w:rsidP="00765DAC">
      <w:pPr>
        <w:pStyle w:val="ListParagraph"/>
        <w:widowControl w:val="0"/>
        <w:numPr>
          <w:ilvl w:val="0"/>
          <w:numId w:val="4"/>
        </w:numPr>
      </w:pPr>
      <w:r>
        <w:t>Finance and Budgeting</w:t>
      </w:r>
    </w:p>
    <w:p w14:paraId="4E795AA8" w14:textId="5B4AF35C" w:rsidR="00765DAC" w:rsidRDefault="00765DAC" w:rsidP="00765DAC">
      <w:pPr>
        <w:pStyle w:val="ListParagraph"/>
        <w:widowControl w:val="0"/>
        <w:numPr>
          <w:ilvl w:val="0"/>
          <w:numId w:val="4"/>
        </w:numPr>
      </w:pPr>
      <w:r>
        <w:t>Human Resources</w:t>
      </w:r>
    </w:p>
    <w:p w14:paraId="79EF19E9" w14:textId="167AEE0A" w:rsidR="00765DAC" w:rsidRDefault="00765DAC">
      <w:pPr>
        <w:pStyle w:val="ListParagraph"/>
        <w:widowControl w:val="0"/>
        <w:numPr>
          <w:ilvl w:val="0"/>
          <w:numId w:val="4"/>
        </w:numPr>
      </w:pPr>
      <w:r>
        <w:t>Website and Social Media Information</w:t>
      </w:r>
    </w:p>
    <w:p w14:paraId="64C1F654" w14:textId="77777777" w:rsidR="00765DAC" w:rsidRDefault="00765DAC" w:rsidP="00765DAC">
      <w:pPr>
        <w:pStyle w:val="ListParagraph"/>
        <w:widowControl w:val="0"/>
        <w:numPr>
          <w:ilvl w:val="0"/>
          <w:numId w:val="4"/>
        </w:numPr>
      </w:pPr>
      <w:r>
        <w:t>Policies and Procedures</w:t>
      </w:r>
    </w:p>
    <w:p w14:paraId="55B6538A" w14:textId="77777777" w:rsidR="00765DAC" w:rsidRDefault="00765DAC" w:rsidP="00E56297">
      <w:pPr>
        <w:pStyle w:val="ListParagraph"/>
        <w:widowControl w:val="0"/>
        <w:ind w:left="2160" w:hanging="720"/>
      </w:pPr>
    </w:p>
    <w:p w14:paraId="5B79071F" w14:textId="770435CA" w:rsidR="00221998" w:rsidRPr="00221998" w:rsidRDefault="005D2022" w:rsidP="000C2F05">
      <w:pPr>
        <w:widowControl w:val="0"/>
        <w:rPr>
          <w:u w:val="single"/>
        </w:rPr>
      </w:pPr>
      <w:r>
        <w:t>6.</w:t>
      </w:r>
      <w:r>
        <w:tab/>
      </w:r>
      <w:r w:rsidR="00221998" w:rsidRPr="00221998">
        <w:rPr>
          <w:u w:val="single"/>
        </w:rPr>
        <w:t>REPORTING</w:t>
      </w:r>
    </w:p>
    <w:p w14:paraId="0BCE8048" w14:textId="77777777" w:rsidR="00EA3062" w:rsidRDefault="00EA3062" w:rsidP="00221998">
      <w:pPr>
        <w:widowControl w:val="0"/>
      </w:pPr>
    </w:p>
    <w:p w14:paraId="1DEB391E" w14:textId="4E7476A3" w:rsidR="00DC68F6" w:rsidRDefault="00305C24" w:rsidP="00010932">
      <w:pPr>
        <w:widowControl w:val="0"/>
        <w:ind w:left="1440" w:hanging="720"/>
      </w:pPr>
      <w:r>
        <w:t>6</w:t>
      </w:r>
      <w:r w:rsidR="00EA3062">
        <w:t>.1</w:t>
      </w:r>
      <w:r w:rsidR="00EA3062">
        <w:tab/>
      </w:r>
      <w:r w:rsidR="00DC68F6">
        <w:t xml:space="preserve">On a quarterly basis, the Compliance Coordinator will provide </w:t>
      </w:r>
      <w:r w:rsidR="00EA3062">
        <w:t>SECO</w:t>
      </w:r>
      <w:r w:rsidR="00F2372F">
        <w:t xml:space="preserve"> </w:t>
      </w:r>
      <w:r w:rsidR="00DC68F6">
        <w:t>with progress reports</w:t>
      </w:r>
      <w:r w:rsidR="00EA3062">
        <w:t xml:space="preserve"> per the </w:t>
      </w:r>
      <w:r w:rsidR="00EA3062" w:rsidRPr="00862832">
        <w:rPr>
          <w:i/>
          <w:iCs/>
        </w:rPr>
        <w:t>DEI Compliance Operational Manual</w:t>
      </w:r>
      <w:r w:rsidR="00EA3062">
        <w:t>.</w:t>
      </w:r>
    </w:p>
    <w:p w14:paraId="2D03AE9B" w14:textId="77777777" w:rsidR="00DC68F6" w:rsidRDefault="00DC68F6" w:rsidP="00221998">
      <w:pPr>
        <w:widowControl w:val="0"/>
      </w:pPr>
    </w:p>
    <w:p w14:paraId="6DF9CC50" w14:textId="64F81B76" w:rsidR="00EA3062" w:rsidRDefault="00305C24" w:rsidP="00894D46">
      <w:pPr>
        <w:pStyle w:val="ListParagraph"/>
        <w:widowControl w:val="0"/>
        <w:ind w:left="1440" w:hanging="750"/>
      </w:pPr>
      <w:r>
        <w:t>6</w:t>
      </w:r>
      <w:r w:rsidR="00EA3062">
        <w:t>.2</w:t>
      </w:r>
      <w:r w:rsidR="00EA3062">
        <w:tab/>
        <w:t xml:space="preserve">The Compliance Coordinator will ensure the </w:t>
      </w:r>
      <w:r w:rsidR="000C2F05">
        <w:t xml:space="preserve">agency Certification of Compliance </w:t>
      </w:r>
      <w:r w:rsidR="00EA3062">
        <w:t xml:space="preserve">is submitted to </w:t>
      </w:r>
      <w:r w:rsidR="000C2F05">
        <w:t>SECO no later than the first business day of June of each year.</w:t>
      </w:r>
      <w:r w:rsidR="00EA3062">
        <w:t xml:space="preserve">  This certification </w:t>
      </w:r>
      <w:r w:rsidR="008A51B0">
        <w:t>will</w:t>
      </w:r>
      <w:r w:rsidR="00EA3062">
        <w:t xml:space="preserve"> include</w:t>
      </w:r>
      <w:r w:rsidR="008A51B0">
        <w:t xml:space="preserve"> </w:t>
      </w:r>
      <w:r w:rsidR="00EA3062">
        <w:t>a report of compliance</w:t>
      </w:r>
      <w:r w:rsidR="008A51B0">
        <w:t xml:space="preserve"> and </w:t>
      </w:r>
      <w:r w:rsidR="00010932">
        <w:t>c</w:t>
      </w:r>
      <w:r w:rsidR="00EA3062">
        <w:t xml:space="preserve">ompliance assurance </w:t>
      </w:r>
      <w:r w:rsidR="00EA3062">
        <w:lastRenderedPageBreak/>
        <w:t>statements</w:t>
      </w:r>
      <w:r w:rsidR="00894D46">
        <w:t>.</w:t>
      </w:r>
    </w:p>
    <w:p w14:paraId="3BDA1E45" w14:textId="77777777" w:rsidR="00EA3062" w:rsidRDefault="00EA3062" w:rsidP="000C2F05">
      <w:pPr>
        <w:widowControl w:val="0"/>
      </w:pPr>
    </w:p>
    <w:p w14:paraId="730C008A" w14:textId="1D426C50" w:rsidR="000C2F05" w:rsidRDefault="00305C24" w:rsidP="00010932">
      <w:pPr>
        <w:widowControl w:val="0"/>
        <w:ind w:left="1440" w:hanging="720"/>
      </w:pPr>
      <w:r>
        <w:t>6</w:t>
      </w:r>
      <w:r w:rsidR="00010932">
        <w:t>.3</w:t>
      </w:r>
      <w:r w:rsidR="00010932">
        <w:tab/>
      </w:r>
      <w:r w:rsidR="008A51B0">
        <w:t>P</w:t>
      </w:r>
      <w:r w:rsidR="00010932">
        <w:t>otential DEI Law violation</w:t>
      </w:r>
      <w:r w:rsidR="008A51B0">
        <w:t>s</w:t>
      </w:r>
      <w:r w:rsidR="00010932">
        <w:t xml:space="preserve"> or any emails, calls, text messages or communications of any kind, including articles and media reports of violations, should be forwarded to the Compliance Coordinator </w:t>
      </w:r>
      <w:r w:rsidR="00F2372F">
        <w:t xml:space="preserve">for proper handling in accordance with the </w:t>
      </w:r>
      <w:r w:rsidR="00F2372F" w:rsidRPr="00F2372F">
        <w:rPr>
          <w:i/>
          <w:iCs/>
        </w:rPr>
        <w:t>DEI</w:t>
      </w:r>
      <w:r w:rsidR="00010932" w:rsidRPr="00F2372F">
        <w:rPr>
          <w:i/>
          <w:iCs/>
        </w:rPr>
        <w:t xml:space="preserve"> </w:t>
      </w:r>
      <w:r w:rsidR="00010932" w:rsidRPr="00862832">
        <w:rPr>
          <w:i/>
          <w:iCs/>
        </w:rPr>
        <w:t>Compliance Operational Manual</w:t>
      </w:r>
      <w:r w:rsidR="00010932">
        <w:t>.</w:t>
      </w:r>
    </w:p>
    <w:p w14:paraId="6D7163E9" w14:textId="3212DDE0" w:rsidR="00F2372F" w:rsidRDefault="00F2372F" w:rsidP="00010932">
      <w:pPr>
        <w:widowControl w:val="0"/>
        <w:ind w:left="1440" w:hanging="720"/>
      </w:pPr>
      <w:r>
        <w:tab/>
      </w:r>
    </w:p>
    <w:p w14:paraId="00BDE8CB" w14:textId="184208DD" w:rsidR="00F2372F" w:rsidRDefault="00F2372F" w:rsidP="00894D46">
      <w:pPr>
        <w:widowControl w:val="0"/>
        <w:tabs>
          <w:tab w:val="left" w:pos="1440"/>
          <w:tab w:val="left" w:pos="2160"/>
        </w:tabs>
        <w:ind w:left="2160" w:hanging="1440"/>
      </w:pPr>
      <w:r>
        <w:tab/>
      </w:r>
      <w:r w:rsidR="00305C24">
        <w:t>6</w:t>
      </w:r>
      <w:r>
        <w:t>.3.1</w:t>
      </w:r>
      <w:r w:rsidR="008A51B0">
        <w:tab/>
      </w:r>
      <w:r>
        <w:t>The Compliance Coordinator will notify the Assistant Director</w:t>
      </w:r>
      <w:r w:rsidR="008A51B0">
        <w:t xml:space="preserve"> for</w:t>
      </w:r>
      <w:r>
        <w:t xml:space="preserve"> Communications</w:t>
      </w:r>
      <w:r w:rsidR="008A51B0">
        <w:t xml:space="preserve"> and </w:t>
      </w:r>
      <w:r>
        <w:t>Marketing of contacts from media or published articles for proper coordination with Vice Chancellor for Marketing and Communication.</w:t>
      </w:r>
    </w:p>
    <w:p w14:paraId="6E348339" w14:textId="77777777" w:rsidR="00F2372F" w:rsidRDefault="00F2372F" w:rsidP="00010932">
      <w:pPr>
        <w:widowControl w:val="0"/>
        <w:ind w:left="1440" w:hanging="720"/>
      </w:pPr>
    </w:p>
    <w:p w14:paraId="2B6590EE" w14:textId="385ACAEC" w:rsidR="00F2372F" w:rsidRDefault="00F2372F" w:rsidP="00894D46">
      <w:pPr>
        <w:widowControl w:val="0"/>
        <w:tabs>
          <w:tab w:val="left" w:pos="1440"/>
        </w:tabs>
        <w:ind w:left="2160" w:hanging="1440"/>
      </w:pPr>
      <w:r>
        <w:tab/>
      </w:r>
      <w:r w:rsidR="00305C24">
        <w:t>6</w:t>
      </w:r>
      <w:r>
        <w:t>.3.2</w:t>
      </w:r>
      <w:r>
        <w:tab/>
        <w:t>The Compliance Coordinator will properly report the alleged violation to the System Hotline and coordinate with the Associate Director for Finance and Administration and SECO on the review/investigation.</w:t>
      </w:r>
    </w:p>
    <w:p w14:paraId="63BB697F" w14:textId="77777777" w:rsidR="00F2372F" w:rsidRDefault="00F2372F" w:rsidP="00010932">
      <w:pPr>
        <w:widowControl w:val="0"/>
        <w:ind w:left="1440" w:hanging="720"/>
      </w:pPr>
    </w:p>
    <w:p w14:paraId="36F66708" w14:textId="0E2781E6" w:rsidR="00F2372F" w:rsidRDefault="00305C24" w:rsidP="00010932">
      <w:pPr>
        <w:widowControl w:val="0"/>
        <w:ind w:left="1440" w:hanging="720"/>
      </w:pPr>
      <w:r>
        <w:t>6</w:t>
      </w:r>
      <w:r w:rsidR="00F2372F">
        <w:t>.4</w:t>
      </w:r>
      <w:r w:rsidR="00F2372F">
        <w:tab/>
        <w:t>The Compliance Coordinator will disseminate notices or information related to the DEI Law, as needed.</w:t>
      </w:r>
    </w:p>
    <w:p w14:paraId="0E068574" w14:textId="77777777" w:rsidR="00DC68F6" w:rsidRDefault="00DC68F6" w:rsidP="00DC68F6">
      <w:pPr>
        <w:widowControl w:val="0"/>
      </w:pPr>
    </w:p>
    <w:p w14:paraId="0CB9A9F6" w14:textId="7A6E3FE1" w:rsidR="00221998" w:rsidRDefault="00E56297" w:rsidP="000C2F05">
      <w:pPr>
        <w:widowControl w:val="0"/>
        <w:rPr>
          <w:u w:val="single"/>
        </w:rPr>
      </w:pPr>
      <w:r>
        <w:t>7</w:t>
      </w:r>
      <w:r w:rsidR="00305C24" w:rsidRPr="00E56297">
        <w:t>.</w:t>
      </w:r>
      <w:r w:rsidR="00305C24" w:rsidRPr="00E56297">
        <w:tab/>
      </w:r>
      <w:r w:rsidR="00DA624F">
        <w:rPr>
          <w:u w:val="single"/>
        </w:rPr>
        <w:t>E</w:t>
      </w:r>
      <w:r w:rsidR="00221998" w:rsidRPr="00221998">
        <w:rPr>
          <w:u w:val="single"/>
        </w:rPr>
        <w:t>NFORCEM</w:t>
      </w:r>
      <w:r w:rsidR="00221998">
        <w:rPr>
          <w:u w:val="single"/>
        </w:rPr>
        <w:t>E</w:t>
      </w:r>
      <w:r w:rsidR="00221998" w:rsidRPr="00221998">
        <w:rPr>
          <w:u w:val="single"/>
        </w:rPr>
        <w:t>NT AND DISCIPLINE</w:t>
      </w:r>
    </w:p>
    <w:p w14:paraId="0FE1340A" w14:textId="77777777" w:rsidR="00862832" w:rsidRPr="00221998" w:rsidRDefault="00862832" w:rsidP="000C2F05">
      <w:pPr>
        <w:widowControl w:val="0"/>
        <w:rPr>
          <w:u w:val="single"/>
        </w:rPr>
      </w:pPr>
    </w:p>
    <w:p w14:paraId="5F2C2EDF" w14:textId="6CD0EA7A" w:rsidR="000C2F05" w:rsidRDefault="00E56297" w:rsidP="00B43A38">
      <w:pPr>
        <w:widowControl w:val="0"/>
        <w:ind w:left="1440" w:hanging="720"/>
      </w:pPr>
      <w:r>
        <w:t>7</w:t>
      </w:r>
      <w:r w:rsidR="00B43A38">
        <w:t>.1</w:t>
      </w:r>
      <w:r w:rsidR="00B43A38">
        <w:tab/>
        <w:t xml:space="preserve">Noncompliance and willful violations of the DEI Law </w:t>
      </w:r>
      <w:r w:rsidR="00862832">
        <w:t>are</w:t>
      </w:r>
      <w:r w:rsidR="00B43A38">
        <w:t xml:space="preserve"> prohibited. Failure to comply with the DEI Law may result in disciplinary action by the agency</w:t>
      </w:r>
      <w:r w:rsidR="00F2372F">
        <w:t xml:space="preserve"> </w:t>
      </w:r>
      <w:r w:rsidR="00B43A38">
        <w:t xml:space="preserve">up to </w:t>
      </w:r>
      <w:r w:rsidR="00527DF6">
        <w:t>and including termination</w:t>
      </w:r>
      <w:r w:rsidR="00DC68F6">
        <w:t>.</w:t>
      </w:r>
    </w:p>
    <w:p w14:paraId="1EF0DECE" w14:textId="77777777" w:rsidR="00527DF6" w:rsidRDefault="00527DF6" w:rsidP="000C2F05">
      <w:pPr>
        <w:widowControl w:val="0"/>
      </w:pPr>
    </w:p>
    <w:p w14:paraId="30A1D570" w14:textId="77777777" w:rsidR="00B43A38" w:rsidRDefault="00B43A38" w:rsidP="000C2F05">
      <w:pPr>
        <w:widowControl w:val="0"/>
      </w:pPr>
    </w:p>
    <w:p w14:paraId="1E6FA985" w14:textId="70E347E6" w:rsidR="000C2F05" w:rsidRDefault="000C2F05" w:rsidP="00B43A38">
      <w:pPr>
        <w:widowControl w:val="0"/>
        <w:jc w:val="center"/>
      </w:pPr>
      <w:r>
        <w:t xml:space="preserve">CONTACT:  </w:t>
      </w:r>
      <w:hyperlink r:id="rId11" w:history="1">
        <w:r w:rsidRPr="004B07F1">
          <w:rPr>
            <w:rStyle w:val="Hyperlink"/>
          </w:rPr>
          <w:t>Compliance Coordinator</w:t>
        </w:r>
      </w:hyperlink>
      <w:r>
        <w:t>, (979) 458-</w:t>
      </w:r>
      <w:r w:rsidR="00F2372F">
        <w:t>6648</w:t>
      </w:r>
    </w:p>
    <w:sectPr w:rsidR="000C2F05" w:rsidSect="00E76BAA">
      <w:footerReference w:type="default" r:id="rId12"/>
      <w:pgSz w:w="12240" w:h="15840" w:code="1"/>
      <w:pgMar w:top="108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2971" w14:textId="77777777" w:rsidR="006A0965" w:rsidRDefault="006A0965">
      <w:r>
        <w:separator/>
      </w:r>
    </w:p>
  </w:endnote>
  <w:endnote w:type="continuationSeparator" w:id="0">
    <w:p w14:paraId="0ABDE91B" w14:textId="77777777" w:rsidR="006A0965" w:rsidRDefault="006A0965">
      <w:r>
        <w:continuationSeparator/>
      </w:r>
    </w:p>
  </w:endnote>
  <w:endnote w:type="continuationNotice" w:id="1">
    <w:p w14:paraId="0BCAE309" w14:textId="77777777" w:rsidR="00265C7A" w:rsidRDefault="00265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9646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890993" w14:textId="77777777" w:rsidR="00AB6142" w:rsidRDefault="00AB6142" w:rsidP="00AB6142">
            <w:pPr>
              <w:pStyle w:val="Footer"/>
              <w:jc w:val="center"/>
            </w:pPr>
            <w:r>
              <w:t xml:space="preserve">Page </w:t>
            </w:r>
            <w:r w:rsidRPr="000C2F05">
              <w:fldChar w:fldCharType="begin"/>
            </w:r>
            <w:r w:rsidRPr="000C2F05">
              <w:instrText xml:space="preserve"> PAGE </w:instrText>
            </w:r>
            <w:r w:rsidRPr="000C2F05">
              <w:fldChar w:fldCharType="separate"/>
            </w:r>
            <w:r w:rsidRPr="000C2F05">
              <w:rPr>
                <w:noProof/>
              </w:rPr>
              <w:t>3</w:t>
            </w:r>
            <w:r w:rsidRPr="000C2F05">
              <w:fldChar w:fldCharType="end"/>
            </w:r>
            <w:r>
              <w:t xml:space="preserve"> of </w:t>
            </w:r>
            <w:r w:rsidR="00E56297">
              <w:fldChar w:fldCharType="begin"/>
            </w:r>
            <w:r w:rsidR="00E56297">
              <w:instrText xml:space="preserve"> NUMPAGES  </w:instrText>
            </w:r>
            <w:r w:rsidR="00E56297">
              <w:fldChar w:fldCharType="separate"/>
            </w:r>
            <w:r w:rsidRPr="000C2F05">
              <w:rPr>
                <w:noProof/>
              </w:rPr>
              <w:t>3</w:t>
            </w:r>
            <w:r w:rsidR="00E56297">
              <w:rPr>
                <w:noProof/>
              </w:rPr>
              <w:fldChar w:fldCharType="end"/>
            </w:r>
          </w:p>
        </w:sdtContent>
      </w:sdt>
    </w:sdtContent>
  </w:sdt>
  <w:p w14:paraId="4441099E" w14:textId="77777777" w:rsidR="00895727" w:rsidRDefault="00895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996E" w14:textId="77777777" w:rsidR="006A0965" w:rsidRDefault="006A0965">
      <w:r>
        <w:separator/>
      </w:r>
    </w:p>
  </w:footnote>
  <w:footnote w:type="continuationSeparator" w:id="0">
    <w:p w14:paraId="447CD7D7" w14:textId="77777777" w:rsidR="006A0965" w:rsidRDefault="006A0965">
      <w:r>
        <w:continuationSeparator/>
      </w:r>
    </w:p>
  </w:footnote>
  <w:footnote w:type="continuationNotice" w:id="1">
    <w:p w14:paraId="322B2126" w14:textId="77777777" w:rsidR="00265C7A" w:rsidRDefault="00265C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704F5"/>
    <w:multiLevelType w:val="hybridMultilevel"/>
    <w:tmpl w:val="D346A94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8D3DCC"/>
    <w:multiLevelType w:val="hybridMultilevel"/>
    <w:tmpl w:val="D346A94A"/>
    <w:lvl w:ilvl="0" w:tplc="F61E9EB8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8450BA"/>
    <w:multiLevelType w:val="hybridMultilevel"/>
    <w:tmpl w:val="CB1A4FDE"/>
    <w:lvl w:ilvl="0" w:tplc="2294E00C">
      <w:start w:val="1"/>
      <w:numFmt w:val="lowerLetter"/>
      <w:lvlText w:val="%1.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3D50236"/>
    <w:multiLevelType w:val="hybridMultilevel"/>
    <w:tmpl w:val="F604C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05255102">
    <w:abstractNumId w:val="1"/>
  </w:num>
  <w:num w:numId="2" w16cid:durableId="156266805">
    <w:abstractNumId w:val="0"/>
  </w:num>
  <w:num w:numId="3" w16cid:durableId="851336866">
    <w:abstractNumId w:val="2"/>
  </w:num>
  <w:num w:numId="4" w16cid:durableId="1793590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yjk5sNMzHbIjVndDmEyTuhJmUuItRTocKrfVCa+aj+J/7fowLyzJx3URtv0UYRgoMS7/xJoe0vXRaZtlHMyGA==" w:salt="AqkuGnmzyuIYpEgbPAPU6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10932"/>
    <w:rsid w:val="000431A1"/>
    <w:rsid w:val="00053845"/>
    <w:rsid w:val="00055F0B"/>
    <w:rsid w:val="0007590C"/>
    <w:rsid w:val="000870ED"/>
    <w:rsid w:val="00095435"/>
    <w:rsid w:val="000C08FF"/>
    <w:rsid w:val="000C2F05"/>
    <w:rsid w:val="000D432D"/>
    <w:rsid w:val="000F0985"/>
    <w:rsid w:val="0011546B"/>
    <w:rsid w:val="0012660A"/>
    <w:rsid w:val="00144331"/>
    <w:rsid w:val="00160D51"/>
    <w:rsid w:val="001A6C37"/>
    <w:rsid w:val="001B1774"/>
    <w:rsid w:val="001B4CF4"/>
    <w:rsid w:val="001E6E4D"/>
    <w:rsid w:val="001E7BCA"/>
    <w:rsid w:val="001F3A90"/>
    <w:rsid w:val="0021168E"/>
    <w:rsid w:val="00221998"/>
    <w:rsid w:val="0022453F"/>
    <w:rsid w:val="00226B6F"/>
    <w:rsid w:val="00242039"/>
    <w:rsid w:val="002477B2"/>
    <w:rsid w:val="00250F4D"/>
    <w:rsid w:val="00265C7A"/>
    <w:rsid w:val="002664DB"/>
    <w:rsid w:val="0028506A"/>
    <w:rsid w:val="002C0F0B"/>
    <w:rsid w:val="002E03CD"/>
    <w:rsid w:val="00305C24"/>
    <w:rsid w:val="003142ED"/>
    <w:rsid w:val="003278D5"/>
    <w:rsid w:val="00347A38"/>
    <w:rsid w:val="00350247"/>
    <w:rsid w:val="00351721"/>
    <w:rsid w:val="00364A06"/>
    <w:rsid w:val="00367E4D"/>
    <w:rsid w:val="0038097F"/>
    <w:rsid w:val="003900FA"/>
    <w:rsid w:val="003A00E1"/>
    <w:rsid w:val="003A37C2"/>
    <w:rsid w:val="003C6188"/>
    <w:rsid w:val="003D126E"/>
    <w:rsid w:val="0040114A"/>
    <w:rsid w:val="004212F4"/>
    <w:rsid w:val="00495910"/>
    <w:rsid w:val="004A44A1"/>
    <w:rsid w:val="004A67FE"/>
    <w:rsid w:val="004B360A"/>
    <w:rsid w:val="004D7F8E"/>
    <w:rsid w:val="004F4C06"/>
    <w:rsid w:val="004F68FC"/>
    <w:rsid w:val="0050259A"/>
    <w:rsid w:val="00510B90"/>
    <w:rsid w:val="00527DF6"/>
    <w:rsid w:val="00582D4A"/>
    <w:rsid w:val="005A22B2"/>
    <w:rsid w:val="005B2A24"/>
    <w:rsid w:val="005B518B"/>
    <w:rsid w:val="005D19C0"/>
    <w:rsid w:val="005D2022"/>
    <w:rsid w:val="00656D3F"/>
    <w:rsid w:val="0067492D"/>
    <w:rsid w:val="00677C0E"/>
    <w:rsid w:val="006819F8"/>
    <w:rsid w:val="006A0965"/>
    <w:rsid w:val="006B693A"/>
    <w:rsid w:val="00701F3B"/>
    <w:rsid w:val="00735E2C"/>
    <w:rsid w:val="00736C2F"/>
    <w:rsid w:val="00740648"/>
    <w:rsid w:val="00765DAC"/>
    <w:rsid w:val="00770648"/>
    <w:rsid w:val="007728E5"/>
    <w:rsid w:val="00772A0D"/>
    <w:rsid w:val="007D1379"/>
    <w:rsid w:val="007E6D71"/>
    <w:rsid w:val="0082544B"/>
    <w:rsid w:val="00837521"/>
    <w:rsid w:val="00840C59"/>
    <w:rsid w:val="00862832"/>
    <w:rsid w:val="00892C33"/>
    <w:rsid w:val="00894D46"/>
    <w:rsid w:val="00895727"/>
    <w:rsid w:val="008A51B0"/>
    <w:rsid w:val="008C797E"/>
    <w:rsid w:val="008E1B56"/>
    <w:rsid w:val="008E70F7"/>
    <w:rsid w:val="008F1498"/>
    <w:rsid w:val="00910216"/>
    <w:rsid w:val="0093607A"/>
    <w:rsid w:val="00946FD7"/>
    <w:rsid w:val="009B61B7"/>
    <w:rsid w:val="009C1C6E"/>
    <w:rsid w:val="009C2F2E"/>
    <w:rsid w:val="009D1CED"/>
    <w:rsid w:val="009D62F7"/>
    <w:rsid w:val="009E50C2"/>
    <w:rsid w:val="009F3D5C"/>
    <w:rsid w:val="009F5C28"/>
    <w:rsid w:val="00A02020"/>
    <w:rsid w:val="00A43C89"/>
    <w:rsid w:val="00A71120"/>
    <w:rsid w:val="00A80303"/>
    <w:rsid w:val="00AA319A"/>
    <w:rsid w:val="00AA690E"/>
    <w:rsid w:val="00AB6142"/>
    <w:rsid w:val="00AD75CF"/>
    <w:rsid w:val="00AE1E5E"/>
    <w:rsid w:val="00AF4BF7"/>
    <w:rsid w:val="00B14636"/>
    <w:rsid w:val="00B1736F"/>
    <w:rsid w:val="00B355EB"/>
    <w:rsid w:val="00B35E94"/>
    <w:rsid w:val="00B43A38"/>
    <w:rsid w:val="00B73E35"/>
    <w:rsid w:val="00B84083"/>
    <w:rsid w:val="00BA076A"/>
    <w:rsid w:val="00BC5FC0"/>
    <w:rsid w:val="00C36B63"/>
    <w:rsid w:val="00C737DF"/>
    <w:rsid w:val="00C7521F"/>
    <w:rsid w:val="00D11C13"/>
    <w:rsid w:val="00D206C4"/>
    <w:rsid w:val="00D35CF5"/>
    <w:rsid w:val="00D458B5"/>
    <w:rsid w:val="00D92065"/>
    <w:rsid w:val="00D964E4"/>
    <w:rsid w:val="00DA624F"/>
    <w:rsid w:val="00DC68F6"/>
    <w:rsid w:val="00DD54F6"/>
    <w:rsid w:val="00DE0487"/>
    <w:rsid w:val="00E55955"/>
    <w:rsid w:val="00E56297"/>
    <w:rsid w:val="00E62753"/>
    <w:rsid w:val="00E722F2"/>
    <w:rsid w:val="00E76BAA"/>
    <w:rsid w:val="00EA14A5"/>
    <w:rsid w:val="00EA3062"/>
    <w:rsid w:val="00EB0564"/>
    <w:rsid w:val="00EE5212"/>
    <w:rsid w:val="00F10705"/>
    <w:rsid w:val="00F17AC5"/>
    <w:rsid w:val="00F2372F"/>
    <w:rsid w:val="00F25CF8"/>
    <w:rsid w:val="00F32067"/>
    <w:rsid w:val="00F601EB"/>
    <w:rsid w:val="00F72130"/>
    <w:rsid w:val="00FA76FD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FE54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25CF8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F25CF8"/>
    <w:pPr>
      <w:ind w:left="720" w:hanging="720"/>
    </w:pPr>
    <w:rPr>
      <w:sz w:val="22"/>
      <w:szCs w:val="20"/>
    </w:rPr>
  </w:style>
  <w:style w:type="character" w:styleId="Hyperlink">
    <w:name w:val="Hyperlink"/>
    <w:rsid w:val="00F25CF8"/>
    <w:rPr>
      <w:color w:val="0000FF"/>
      <w:u w:val="single"/>
    </w:rPr>
  </w:style>
  <w:style w:type="character" w:styleId="FollowedHyperlink">
    <w:name w:val="FollowedHyperlink"/>
    <w:rsid w:val="00FA76FD"/>
    <w:rPr>
      <w:color w:val="800080"/>
      <w:u w:val="single"/>
    </w:rPr>
  </w:style>
  <w:style w:type="character" w:styleId="CommentReference">
    <w:name w:val="annotation reference"/>
    <w:basedOn w:val="DefaultParagraphFont"/>
    <w:rsid w:val="00EB05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0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0564"/>
  </w:style>
  <w:style w:type="paragraph" w:styleId="CommentSubject">
    <w:name w:val="annotation subject"/>
    <w:basedOn w:val="CommentText"/>
    <w:next w:val="CommentText"/>
    <w:link w:val="CommentSubjectChar"/>
    <w:rsid w:val="00EB0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056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95727"/>
    <w:rPr>
      <w:sz w:val="24"/>
      <w:szCs w:val="24"/>
    </w:rPr>
  </w:style>
  <w:style w:type="paragraph" w:styleId="Revision">
    <w:name w:val="Revision"/>
    <w:hidden/>
    <w:uiPriority w:val="99"/>
    <w:semiHidden/>
    <w:rsid w:val="00D964E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64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ie.fulton@tfs.tam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icies.tamus.edu/08-01-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ies.tamus.edu/08-0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1BEF-9E82-4197-85DC-C4E70144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4357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5067</CharactersWithSpaces>
  <SharedDoc>false</SharedDoc>
  <HLinks>
    <vt:vector size="48" baseType="variant">
      <vt:variant>
        <vt:i4>3342423</vt:i4>
      </vt:variant>
      <vt:variant>
        <vt:i4>21</vt:i4>
      </vt:variant>
      <vt:variant>
        <vt:i4>0</vt:i4>
      </vt:variant>
      <vt:variant>
        <vt:i4>5</vt:i4>
      </vt:variant>
      <vt:variant>
        <vt:lpwstr>mailto:wbdixon@tfs.tamu.edu</vt:lpwstr>
      </vt:variant>
      <vt:variant>
        <vt:lpwstr/>
      </vt:variant>
      <vt:variant>
        <vt:i4>7209045</vt:i4>
      </vt:variant>
      <vt:variant>
        <vt:i4>18</vt:i4>
      </vt:variant>
      <vt:variant>
        <vt:i4>0</vt:i4>
      </vt:variant>
      <vt:variant>
        <vt:i4>5</vt:i4>
      </vt:variant>
      <vt:variant>
        <vt:lpwstr>http://tfsfinance.tamu.edu/modules/finance/admin/admin_procedures/1002 Pay Plan - Listing.xlsx</vt:lpwstr>
      </vt:variant>
      <vt:variant>
        <vt:lpwstr/>
      </vt:variant>
      <vt:variant>
        <vt:i4>3932221</vt:i4>
      </vt:variant>
      <vt:variant>
        <vt:i4>15</vt:i4>
      </vt:variant>
      <vt:variant>
        <vt:i4>0</vt:i4>
      </vt:variant>
      <vt:variant>
        <vt:i4>5</vt:i4>
      </vt:variant>
      <vt:variant>
        <vt:lpwstr>http://tfsfinance.tamu.edu/modules/finance/admin/procedures/Position Description HR-02.docx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http://tfsfinance.tamu.edu/modules/finance/admin/admin_procedures/1003 Establish Change Update Budget Positions.doc</vt:lpwstr>
      </vt:variant>
      <vt:variant>
        <vt:lpwstr/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http://policies.tamus.edu/31-01-02.pdf</vt:lpwstr>
      </vt:variant>
      <vt:variant>
        <vt:lpwstr/>
      </vt:variant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http://policies.tamus.edu/31-01-01.pdf</vt:lpwstr>
      </vt:variant>
      <vt:variant>
        <vt:lpwstr/>
      </vt:variant>
      <vt:variant>
        <vt:i4>2490420</vt:i4>
      </vt:variant>
      <vt:variant>
        <vt:i4>3</vt:i4>
      </vt:variant>
      <vt:variant>
        <vt:i4>0</vt:i4>
      </vt:variant>
      <vt:variant>
        <vt:i4>5</vt:i4>
      </vt:variant>
      <vt:variant>
        <vt:lpwstr>http://policies.tamus.edu/02-06.pdf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2024-04-18T18:10:00Z</dcterms:created>
  <dcterms:modified xsi:type="dcterms:W3CDTF">2024-04-18T18:11:00Z</dcterms:modified>
</cp:coreProperties>
</file>