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2689" w14:textId="77777777" w:rsidR="00946FD7" w:rsidRDefault="00E83E93" w:rsidP="00364A06">
      <w:pPr>
        <w:jc w:val="center"/>
      </w:pPr>
      <w:r>
        <w:rPr>
          <w:noProof/>
        </w:rPr>
        <w:drawing>
          <wp:inline distT="0" distB="0" distL="0" distR="0" wp14:anchorId="295626D3" wp14:editId="295626D4">
            <wp:extent cx="1828800" cy="409575"/>
            <wp:effectExtent l="0" t="0" r="0" b="9525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B50">
        <w:t xml:space="preserve"> </w:t>
      </w:r>
    </w:p>
    <w:p w14:paraId="2956268A" w14:textId="77777777" w:rsidR="00364A06" w:rsidRDefault="00364A06" w:rsidP="00364A06">
      <w:pPr>
        <w:jc w:val="center"/>
      </w:pPr>
    </w:p>
    <w:p w14:paraId="2956268B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2956268C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6F545F" w14:paraId="2956268F" w14:textId="77777777" w:rsidTr="006F545F">
        <w:tc>
          <w:tcPr>
            <w:tcW w:w="5803" w:type="dxa"/>
          </w:tcPr>
          <w:p w14:paraId="2956268D" w14:textId="77777777" w:rsidR="00364A06" w:rsidRPr="006F545F" w:rsidRDefault="00ED4A0B" w:rsidP="009E4DE7">
            <w:pPr>
              <w:ind w:left="624" w:hanging="624"/>
              <w:rPr>
                <w:b/>
              </w:rPr>
            </w:pPr>
            <w:r>
              <w:rPr>
                <w:b/>
              </w:rPr>
              <w:t>60.07</w:t>
            </w:r>
            <w:r w:rsidR="00364A06" w:rsidRPr="006F545F">
              <w:rPr>
                <w:b/>
              </w:rPr>
              <w:t xml:space="preserve"> </w:t>
            </w:r>
            <w:r>
              <w:rPr>
                <w:b/>
              </w:rPr>
              <w:t xml:space="preserve">Post-Accident </w:t>
            </w:r>
            <w:r w:rsidR="002775CA">
              <w:rPr>
                <w:b/>
              </w:rPr>
              <w:t>Drug</w:t>
            </w:r>
            <w:r w:rsidR="00D333DD">
              <w:rPr>
                <w:b/>
              </w:rPr>
              <w:t xml:space="preserve"> </w:t>
            </w:r>
            <w:r>
              <w:rPr>
                <w:b/>
              </w:rPr>
              <w:t>and Alcohol Testing</w:t>
            </w:r>
            <w:r w:rsidR="009E4DE7">
              <w:rPr>
                <w:b/>
              </w:rPr>
              <w:t xml:space="preserve"> </w:t>
            </w:r>
            <w:r>
              <w:rPr>
                <w:b/>
              </w:rPr>
              <w:t xml:space="preserve">for </w:t>
            </w:r>
            <w:r w:rsidR="009E4DE7">
              <w:rPr>
                <w:b/>
              </w:rPr>
              <w:t>Commercial Driver's License (CDL)</w:t>
            </w:r>
            <w:r>
              <w:rPr>
                <w:b/>
              </w:rPr>
              <w:t xml:space="preserve"> Holders</w:t>
            </w:r>
            <w:r w:rsidR="009C2F2E" w:rsidRPr="006F545F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2956268E" w14:textId="36402F96" w:rsidR="00364A06" w:rsidRPr="006F545F" w:rsidRDefault="00D137CD" w:rsidP="00EB73DF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6F545F">
              <w:rPr>
                <w:b/>
              </w:rPr>
              <w:t xml:space="preserve">:  </w:t>
            </w:r>
            <w:r>
              <w:rPr>
                <w:b/>
              </w:rPr>
              <w:t xml:space="preserve">April </w:t>
            </w:r>
            <w:r w:rsidR="00C75F3E">
              <w:rPr>
                <w:b/>
              </w:rPr>
              <w:t>10</w:t>
            </w:r>
            <w:r>
              <w:rPr>
                <w:b/>
              </w:rPr>
              <w:t>, 2023</w:t>
            </w:r>
          </w:p>
        </w:tc>
      </w:tr>
    </w:tbl>
    <w:p w14:paraId="29562690" w14:textId="77777777" w:rsidR="00364A06" w:rsidRDefault="00364A06" w:rsidP="00364A06">
      <w:pPr>
        <w:jc w:val="center"/>
      </w:pPr>
    </w:p>
    <w:p w14:paraId="29562691" w14:textId="77777777" w:rsidR="00BC3D1E" w:rsidRPr="00FA6E94" w:rsidRDefault="00BC3D1E" w:rsidP="00A10170">
      <w:pPr>
        <w:tabs>
          <w:tab w:val="left" w:pos="360"/>
        </w:tabs>
        <w:ind w:left="360" w:hanging="360"/>
      </w:pPr>
      <w:r w:rsidRPr="00FA6E94">
        <w:t>1.</w:t>
      </w:r>
      <w:r w:rsidRPr="00FA6E94">
        <w:tab/>
      </w:r>
      <w:r w:rsidRPr="00614221">
        <w:rPr>
          <w:u w:val="single"/>
        </w:rPr>
        <w:t>G</w:t>
      </w:r>
      <w:r>
        <w:rPr>
          <w:u w:val="single"/>
        </w:rPr>
        <w:t>OVERNING</w:t>
      </w:r>
      <w:r w:rsidRPr="00614221">
        <w:rPr>
          <w:u w:val="single"/>
        </w:rPr>
        <w:t xml:space="preserve"> </w:t>
      </w:r>
      <w:r>
        <w:rPr>
          <w:u w:val="single"/>
        </w:rPr>
        <w:t>REGULATIONS</w:t>
      </w:r>
    </w:p>
    <w:p w14:paraId="29562692" w14:textId="77777777" w:rsidR="00BC3D1E" w:rsidRPr="00FA6E94" w:rsidRDefault="00BC3D1E" w:rsidP="00BC3D1E">
      <w:pPr>
        <w:ind w:left="360" w:hanging="360"/>
      </w:pPr>
    </w:p>
    <w:p w14:paraId="29562693" w14:textId="61B00424" w:rsidR="00BC3D1E" w:rsidRPr="004200C1" w:rsidRDefault="00BC3D1E" w:rsidP="00A10170">
      <w:pPr>
        <w:ind w:left="360"/>
      </w:pPr>
      <w:r w:rsidRPr="00FA6E94">
        <w:t>These procedures are governed by</w:t>
      </w:r>
      <w:r w:rsidR="00383269">
        <w:t xml:space="preserve"> System Policy </w:t>
      </w:r>
      <w:hyperlink r:id="rId8" w:history="1">
        <w:r w:rsidR="00383269" w:rsidRPr="00D137CD">
          <w:rPr>
            <w:rStyle w:val="Hyperlink"/>
          </w:rPr>
          <w:t>34.02</w:t>
        </w:r>
      </w:hyperlink>
      <w:r w:rsidR="00383269">
        <w:t xml:space="preserve">, </w:t>
      </w:r>
      <w:r w:rsidR="00D137CD" w:rsidRPr="001C47E1">
        <w:rPr>
          <w:i/>
          <w:iCs/>
        </w:rPr>
        <w:t>Drug and Alcohol Abuse</w:t>
      </w:r>
      <w:r w:rsidR="00383269" w:rsidRPr="001C47E1">
        <w:rPr>
          <w:i/>
          <w:iCs/>
        </w:rPr>
        <w:t>, System Policy</w:t>
      </w:r>
      <w:r w:rsidR="00383269">
        <w:t xml:space="preserve"> </w:t>
      </w:r>
      <w:hyperlink r:id="rId9" w:history="1">
        <w:r w:rsidR="00383269" w:rsidRPr="00D137CD">
          <w:rPr>
            <w:rStyle w:val="Hyperlink"/>
          </w:rPr>
          <w:t>34.03</w:t>
        </w:r>
      </w:hyperlink>
      <w:r w:rsidR="00383269">
        <w:t xml:space="preserve">, </w:t>
      </w:r>
      <w:r w:rsidR="00D137CD" w:rsidRPr="001C47E1">
        <w:rPr>
          <w:i/>
          <w:iCs/>
        </w:rPr>
        <w:t>Alcoholic Beverages</w:t>
      </w:r>
      <w:r w:rsidR="00383269">
        <w:t xml:space="preserve">, System Regulation </w:t>
      </w:r>
      <w:hyperlink r:id="rId10" w:history="1">
        <w:r w:rsidR="00383269" w:rsidRPr="00D137CD">
          <w:rPr>
            <w:rStyle w:val="Hyperlink"/>
          </w:rPr>
          <w:t>34.02.01</w:t>
        </w:r>
      </w:hyperlink>
      <w:r w:rsidR="00383269" w:rsidRPr="001C47E1">
        <w:rPr>
          <w:i/>
          <w:iCs/>
        </w:rPr>
        <w:t xml:space="preserve">, </w:t>
      </w:r>
      <w:r w:rsidR="00D137CD" w:rsidRPr="001C47E1">
        <w:rPr>
          <w:i/>
          <w:iCs/>
        </w:rPr>
        <w:t>Drug and Alcohol Abuse and Rehabilitation Programs</w:t>
      </w:r>
      <w:r w:rsidR="00383269">
        <w:t xml:space="preserve">, Texas A&amp;M Forest Service </w:t>
      </w:r>
      <w:r w:rsidR="001C6D62">
        <w:t xml:space="preserve">Agency Rule </w:t>
      </w:r>
      <w:hyperlink r:id="rId11" w:history="1">
        <w:r w:rsidR="001C6D62" w:rsidRPr="00D137CD">
          <w:rPr>
            <w:rStyle w:val="Hyperlink"/>
          </w:rPr>
          <w:t>34.02.01.F1</w:t>
        </w:r>
      </w:hyperlink>
      <w:r w:rsidR="001C6D62">
        <w:t xml:space="preserve">, </w:t>
      </w:r>
      <w:r w:rsidR="00D137CD" w:rsidRPr="001C47E1">
        <w:rPr>
          <w:i/>
          <w:iCs/>
        </w:rPr>
        <w:t>Drug and Alcohol Abuse and Rehabilitation Programs</w:t>
      </w:r>
      <w:r w:rsidR="001C6D62" w:rsidRPr="001C6D62">
        <w:rPr>
          <w:i/>
        </w:rPr>
        <w:t>,</w:t>
      </w:r>
      <w:r w:rsidR="001C6D62">
        <w:t xml:space="preserve"> </w:t>
      </w:r>
      <w:r w:rsidR="00383269">
        <w:t xml:space="preserve">Administrative Procedure </w:t>
      </w:r>
      <w:hyperlink r:id="rId12" w:history="1">
        <w:r w:rsidR="00383269" w:rsidRPr="00D137CD">
          <w:rPr>
            <w:rStyle w:val="Hyperlink"/>
          </w:rPr>
          <w:t>60.01</w:t>
        </w:r>
      </w:hyperlink>
      <w:r w:rsidR="00383269">
        <w:t xml:space="preserve">, </w:t>
      </w:r>
      <w:r w:rsidR="00D137CD" w:rsidRPr="001C47E1">
        <w:rPr>
          <w:i/>
          <w:iCs/>
        </w:rPr>
        <w:t>Alcoholic Beverages</w:t>
      </w:r>
      <w:r w:rsidR="001C6D62">
        <w:t xml:space="preserve"> </w:t>
      </w:r>
      <w:r w:rsidR="004200C1" w:rsidRPr="004200C1">
        <w:t xml:space="preserve">and the </w:t>
      </w:r>
      <w:r w:rsidR="001C6D62">
        <w:t>U.S. Department of Transportation</w:t>
      </w:r>
      <w:r w:rsidR="00DB00E0">
        <w:t xml:space="preserve"> – Federal Highway Administration</w:t>
      </w:r>
      <w:r w:rsidR="001C6D62">
        <w:t xml:space="preserve"> </w:t>
      </w:r>
      <w:r w:rsidR="004200C1">
        <w:t xml:space="preserve">Regulation – </w:t>
      </w:r>
      <w:hyperlink r:id="rId13" w:history="1">
        <w:r w:rsidR="004200C1" w:rsidRPr="001C47E1">
          <w:rPr>
            <w:rStyle w:val="Hyperlink"/>
          </w:rPr>
          <w:t>49 CFR Part 382</w:t>
        </w:r>
        <w:r w:rsidR="008C5F7A" w:rsidRPr="001C47E1">
          <w:rPr>
            <w:rStyle w:val="Hyperlink"/>
          </w:rPr>
          <w:t>.303</w:t>
        </w:r>
      </w:hyperlink>
      <w:r w:rsidR="004200C1">
        <w:rPr>
          <w:i/>
        </w:rPr>
        <w:t>.</w:t>
      </w:r>
    </w:p>
    <w:p w14:paraId="29562694" w14:textId="77777777" w:rsidR="004200C1" w:rsidRPr="00FA6E94" w:rsidRDefault="004200C1" w:rsidP="00A10170">
      <w:pPr>
        <w:ind w:left="360"/>
      </w:pPr>
    </w:p>
    <w:p w14:paraId="29562695" w14:textId="77777777" w:rsidR="00BC3D1E" w:rsidRPr="00094522" w:rsidRDefault="00BC3D1E" w:rsidP="00A10170">
      <w:pPr>
        <w:tabs>
          <w:tab w:val="left" w:pos="360"/>
        </w:tabs>
      </w:pPr>
      <w:r w:rsidRPr="00FA6E94">
        <w:t xml:space="preserve">2.  </w:t>
      </w:r>
      <w:r w:rsidR="00A10170">
        <w:tab/>
      </w:r>
      <w:r w:rsidRPr="00614221">
        <w:rPr>
          <w:u w:val="single"/>
        </w:rPr>
        <w:t>P</w:t>
      </w:r>
      <w:r>
        <w:rPr>
          <w:u w:val="single"/>
        </w:rPr>
        <w:t>URPOSE</w:t>
      </w:r>
    </w:p>
    <w:p w14:paraId="29562696" w14:textId="77777777" w:rsidR="00BC3D1E" w:rsidRPr="00FA6E94" w:rsidRDefault="00BC3D1E" w:rsidP="00A10170"/>
    <w:p w14:paraId="29562697" w14:textId="49342725" w:rsidR="00544029" w:rsidRDefault="003946AD" w:rsidP="00A81CDA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A&amp;M Forest Service</w:t>
      </w:r>
      <w:r w:rsidRPr="00FA6E94">
        <w:rPr>
          <w:rFonts w:ascii="Times New Roman" w:hAnsi="Times New Roman" w:cs="Times New Roman"/>
        </w:rPr>
        <w:t xml:space="preserve"> </w:t>
      </w:r>
      <w:r w:rsidR="00BC3D1E" w:rsidRPr="00FA6E94">
        <w:rPr>
          <w:rFonts w:ascii="Times New Roman" w:hAnsi="Times New Roman" w:cs="Times New Roman"/>
        </w:rPr>
        <w:t>i</w:t>
      </w:r>
      <w:r w:rsidR="002775CA">
        <w:rPr>
          <w:rFonts w:ascii="Times New Roman" w:hAnsi="Times New Roman" w:cs="Times New Roman"/>
        </w:rPr>
        <w:t xml:space="preserve">s committed to providing a safe, drug and </w:t>
      </w:r>
      <w:proofErr w:type="gramStart"/>
      <w:r w:rsidR="002775CA">
        <w:rPr>
          <w:rFonts w:ascii="Times New Roman" w:hAnsi="Times New Roman" w:cs="Times New Roman"/>
        </w:rPr>
        <w:t>alcohol free</w:t>
      </w:r>
      <w:proofErr w:type="gramEnd"/>
      <w:r w:rsidR="002775CA">
        <w:rPr>
          <w:rFonts w:ascii="Times New Roman" w:hAnsi="Times New Roman" w:cs="Times New Roman"/>
        </w:rPr>
        <w:t xml:space="preserve"> </w:t>
      </w:r>
      <w:r w:rsidR="00BC3D1E" w:rsidRPr="00FA6E94">
        <w:rPr>
          <w:rFonts w:ascii="Times New Roman" w:hAnsi="Times New Roman" w:cs="Times New Roman"/>
        </w:rPr>
        <w:t>working environment for its employees</w:t>
      </w:r>
      <w:r w:rsidR="00D26DBD">
        <w:rPr>
          <w:rFonts w:ascii="Times New Roman" w:hAnsi="Times New Roman" w:cs="Times New Roman"/>
        </w:rPr>
        <w:t>, customers and the general public</w:t>
      </w:r>
      <w:r w:rsidR="00A81CDA">
        <w:rPr>
          <w:rFonts w:ascii="Times New Roman" w:hAnsi="Times New Roman" w:cs="Times New Roman"/>
        </w:rPr>
        <w:t xml:space="preserve">.  </w:t>
      </w:r>
      <w:r w:rsidR="001A69BD" w:rsidRPr="001A69BD">
        <w:rPr>
          <w:rFonts w:ascii="Times New Roman" w:hAnsi="Times New Roman" w:cs="Times New Roman"/>
        </w:rPr>
        <w:t>Employees who are required to have a commercial driver’s license</w:t>
      </w:r>
      <w:r w:rsidR="001C6D62">
        <w:rPr>
          <w:rFonts w:ascii="Times New Roman" w:hAnsi="Times New Roman" w:cs="Times New Roman"/>
        </w:rPr>
        <w:t xml:space="preserve"> (CDL)</w:t>
      </w:r>
      <w:r w:rsidR="001A69BD" w:rsidRPr="001A69BD">
        <w:rPr>
          <w:rFonts w:ascii="Times New Roman" w:hAnsi="Times New Roman" w:cs="Times New Roman"/>
        </w:rPr>
        <w:t xml:space="preserve"> must comply with </w:t>
      </w:r>
      <w:r w:rsidR="00DB00E0">
        <w:rPr>
          <w:rFonts w:ascii="Times New Roman" w:hAnsi="Times New Roman" w:cs="Times New Roman"/>
        </w:rPr>
        <w:t xml:space="preserve">U.S. Department of Transportation - </w:t>
      </w:r>
      <w:r w:rsidR="001A69BD" w:rsidRPr="001A69BD">
        <w:rPr>
          <w:rFonts w:ascii="Times New Roman" w:hAnsi="Times New Roman" w:cs="Times New Roman"/>
        </w:rPr>
        <w:t xml:space="preserve">Federal Highway Administration </w:t>
      </w:r>
      <w:r w:rsidR="00661E5B">
        <w:rPr>
          <w:rFonts w:ascii="Times New Roman" w:hAnsi="Times New Roman" w:cs="Times New Roman"/>
        </w:rPr>
        <w:t>regulations</w:t>
      </w:r>
      <w:r w:rsidR="001A69BD" w:rsidRPr="001A69BD">
        <w:rPr>
          <w:rFonts w:ascii="Times New Roman" w:hAnsi="Times New Roman" w:cs="Times New Roman"/>
        </w:rPr>
        <w:t xml:space="preserve"> and will be tested 1) pre-employment, 2) post-accident, 3) reasonable suspicion, 4) random and 5) return-to-duty.  </w:t>
      </w:r>
      <w:r w:rsidR="001A69BD">
        <w:rPr>
          <w:rFonts w:ascii="Times New Roman" w:hAnsi="Times New Roman" w:cs="Times New Roman"/>
        </w:rPr>
        <w:t xml:space="preserve">  </w:t>
      </w:r>
    </w:p>
    <w:p w14:paraId="29562698" w14:textId="77777777" w:rsidR="00544029" w:rsidRDefault="00544029" w:rsidP="00A81CDA">
      <w:pPr>
        <w:pStyle w:val="BodyTextIndent"/>
        <w:rPr>
          <w:rFonts w:ascii="Times New Roman" w:hAnsi="Times New Roman" w:cs="Times New Roman"/>
        </w:rPr>
      </w:pPr>
    </w:p>
    <w:p w14:paraId="29562699" w14:textId="391B5380" w:rsidR="00383269" w:rsidRDefault="001A69BD" w:rsidP="00A81CDA">
      <w:pPr>
        <w:pStyle w:val="BodyTextIndent"/>
        <w:rPr>
          <w:rFonts w:ascii="Times New Roman" w:hAnsi="Times New Roman" w:cs="Times New Roman"/>
        </w:rPr>
      </w:pPr>
      <w:r w:rsidRPr="001A69BD">
        <w:rPr>
          <w:rFonts w:ascii="Times New Roman" w:hAnsi="Times New Roman" w:cs="Times New Roman"/>
        </w:rPr>
        <w:t>The purpose of</w:t>
      </w:r>
      <w:r w:rsidR="00544029">
        <w:rPr>
          <w:rFonts w:ascii="Times New Roman" w:hAnsi="Times New Roman" w:cs="Times New Roman"/>
        </w:rPr>
        <w:t xml:space="preserve"> this procedure </w:t>
      </w:r>
      <w:r w:rsidR="00C85B2F">
        <w:rPr>
          <w:rFonts w:ascii="Times New Roman" w:hAnsi="Times New Roman" w:cs="Times New Roman"/>
        </w:rPr>
        <w:t xml:space="preserve">is to supplement Agency Rule 34.02.01.F1, </w:t>
      </w:r>
      <w:r w:rsidR="00C85B2F" w:rsidRPr="00C85B2F">
        <w:rPr>
          <w:rFonts w:ascii="Times New Roman" w:hAnsi="Times New Roman" w:cs="Times New Roman"/>
          <w:i/>
        </w:rPr>
        <w:t>Drug and Alcohol Abuse and Rehabilitation Programs</w:t>
      </w:r>
      <w:r w:rsidR="00C85B2F">
        <w:rPr>
          <w:rFonts w:ascii="Times New Roman" w:hAnsi="Times New Roman" w:cs="Times New Roman"/>
        </w:rPr>
        <w:t xml:space="preserve"> and </w:t>
      </w:r>
      <w:r w:rsidR="00544029">
        <w:rPr>
          <w:rFonts w:ascii="Times New Roman" w:hAnsi="Times New Roman" w:cs="Times New Roman"/>
        </w:rPr>
        <w:t>to establish post-accident d</w:t>
      </w:r>
      <w:r w:rsidRPr="001A69BD">
        <w:rPr>
          <w:rFonts w:ascii="Times New Roman" w:hAnsi="Times New Roman" w:cs="Times New Roman"/>
        </w:rPr>
        <w:t>rug and alcohol testing</w:t>
      </w:r>
      <w:r w:rsidR="00544029">
        <w:rPr>
          <w:rFonts w:ascii="Times New Roman" w:hAnsi="Times New Roman" w:cs="Times New Roman"/>
        </w:rPr>
        <w:t xml:space="preserve"> requirements</w:t>
      </w:r>
      <w:r w:rsidRPr="001A69BD">
        <w:rPr>
          <w:rFonts w:ascii="Times New Roman" w:hAnsi="Times New Roman" w:cs="Times New Roman"/>
        </w:rPr>
        <w:t xml:space="preserve"> for </w:t>
      </w:r>
      <w:r w:rsidR="003946AD">
        <w:rPr>
          <w:rFonts w:ascii="Times New Roman" w:hAnsi="Times New Roman" w:cs="Times New Roman"/>
        </w:rPr>
        <w:t>agency</w:t>
      </w:r>
      <w:r w:rsidR="003946AD" w:rsidRPr="001A69BD">
        <w:rPr>
          <w:rFonts w:ascii="Times New Roman" w:hAnsi="Times New Roman" w:cs="Times New Roman"/>
        </w:rPr>
        <w:t xml:space="preserve"> </w:t>
      </w:r>
      <w:r w:rsidRPr="001A69BD">
        <w:rPr>
          <w:rFonts w:ascii="Times New Roman" w:hAnsi="Times New Roman" w:cs="Times New Roman"/>
        </w:rPr>
        <w:t>drivers who are involved in an accident</w:t>
      </w:r>
      <w:r w:rsidR="009664C7">
        <w:rPr>
          <w:rFonts w:ascii="Times New Roman" w:hAnsi="Times New Roman" w:cs="Times New Roman"/>
        </w:rPr>
        <w:t xml:space="preserve"> in a</w:t>
      </w:r>
      <w:r w:rsidR="003946AD">
        <w:rPr>
          <w:rFonts w:ascii="Times New Roman" w:hAnsi="Times New Roman" w:cs="Times New Roman"/>
        </w:rPr>
        <w:t>n</w:t>
      </w:r>
      <w:r w:rsidR="009664C7">
        <w:rPr>
          <w:rFonts w:ascii="Times New Roman" w:hAnsi="Times New Roman" w:cs="Times New Roman"/>
        </w:rPr>
        <w:t xml:space="preserve"> </w:t>
      </w:r>
      <w:r w:rsidR="003946AD">
        <w:rPr>
          <w:rFonts w:ascii="Times New Roman" w:hAnsi="Times New Roman" w:cs="Times New Roman"/>
        </w:rPr>
        <w:t xml:space="preserve">agency </w:t>
      </w:r>
      <w:r w:rsidR="009664C7">
        <w:rPr>
          <w:rFonts w:ascii="Times New Roman" w:hAnsi="Times New Roman" w:cs="Times New Roman"/>
        </w:rPr>
        <w:t>vehicle</w:t>
      </w:r>
      <w:r w:rsidRPr="001A69BD">
        <w:rPr>
          <w:rFonts w:ascii="Times New Roman" w:hAnsi="Times New Roman" w:cs="Times New Roman"/>
        </w:rPr>
        <w:t xml:space="preserve"> and possess a </w:t>
      </w:r>
      <w:r w:rsidR="001C6D62">
        <w:rPr>
          <w:rFonts w:ascii="Times New Roman" w:hAnsi="Times New Roman" w:cs="Times New Roman"/>
        </w:rPr>
        <w:t>CDL</w:t>
      </w:r>
      <w:r w:rsidRPr="001A69BD">
        <w:rPr>
          <w:rFonts w:ascii="Times New Roman" w:hAnsi="Times New Roman" w:cs="Times New Roman"/>
        </w:rPr>
        <w:t xml:space="preserve">.  </w:t>
      </w:r>
    </w:p>
    <w:p w14:paraId="2956269A" w14:textId="77777777" w:rsidR="00383269" w:rsidRDefault="00383269" w:rsidP="00A10170">
      <w:pPr>
        <w:pStyle w:val="BodyTextIndent"/>
        <w:rPr>
          <w:rFonts w:ascii="Times New Roman" w:hAnsi="Times New Roman" w:cs="Times New Roman"/>
        </w:rPr>
      </w:pPr>
    </w:p>
    <w:p w14:paraId="2956269B" w14:textId="77777777" w:rsidR="00BC3D1E" w:rsidRDefault="008E2533" w:rsidP="00A10170">
      <w:pPr>
        <w:tabs>
          <w:tab w:val="left" w:pos="360"/>
        </w:tabs>
        <w:rPr>
          <w:u w:val="single"/>
        </w:rPr>
      </w:pPr>
      <w:r>
        <w:t>3</w:t>
      </w:r>
      <w:r w:rsidR="00BC3D1E" w:rsidRPr="00FA6E94">
        <w:t xml:space="preserve">.  </w:t>
      </w:r>
      <w:r w:rsidR="00A10170">
        <w:tab/>
      </w:r>
      <w:r w:rsidR="00BC3D1E" w:rsidRPr="00614221">
        <w:rPr>
          <w:u w:val="single"/>
        </w:rPr>
        <w:t>R</w:t>
      </w:r>
      <w:r w:rsidR="00BC3D1E">
        <w:rPr>
          <w:u w:val="single"/>
        </w:rPr>
        <w:t>EQUIREMENTS</w:t>
      </w:r>
    </w:p>
    <w:p w14:paraId="2956269C" w14:textId="77777777" w:rsidR="00A81CDA" w:rsidRDefault="00A81CDA" w:rsidP="00A10170">
      <w:pPr>
        <w:tabs>
          <w:tab w:val="left" w:pos="360"/>
        </w:tabs>
        <w:rPr>
          <w:u w:val="single"/>
        </w:rPr>
      </w:pPr>
    </w:p>
    <w:p w14:paraId="2956269F" w14:textId="68AC818D" w:rsidR="008E2533" w:rsidRDefault="008E2533" w:rsidP="008E2533">
      <w:pPr>
        <w:tabs>
          <w:tab w:val="left" w:pos="360"/>
          <w:tab w:val="left" w:pos="1800"/>
        </w:tabs>
        <w:ind w:left="360" w:hanging="360"/>
      </w:pPr>
      <w:r>
        <w:tab/>
      </w:r>
      <w:r w:rsidR="001A1A19">
        <w:t xml:space="preserve">A </w:t>
      </w:r>
      <w:r>
        <w:t xml:space="preserve">post-accident </w:t>
      </w:r>
      <w:r w:rsidR="002775CA">
        <w:t>drug</w:t>
      </w:r>
      <w:r>
        <w:t xml:space="preserve"> and alcohol test</w:t>
      </w:r>
      <w:r w:rsidR="00FA2847">
        <w:t xml:space="preserve"> </w:t>
      </w:r>
      <w:r w:rsidR="003946AD">
        <w:t xml:space="preserve">will </w:t>
      </w:r>
      <w:r w:rsidR="00FA2847">
        <w:t xml:space="preserve">be administered </w:t>
      </w:r>
      <w:r w:rsidR="00661E5B">
        <w:t xml:space="preserve">to </w:t>
      </w:r>
      <w:r w:rsidR="00544029">
        <w:t>a CDL</w:t>
      </w:r>
      <w:r>
        <w:t xml:space="preserve"> </w:t>
      </w:r>
      <w:r w:rsidR="001C720F">
        <w:t xml:space="preserve">holder </w:t>
      </w:r>
      <w:r>
        <w:t xml:space="preserve">immediately after an accident </w:t>
      </w:r>
      <w:r w:rsidR="001C720F">
        <w:t>involving a commercial motor</w:t>
      </w:r>
      <w:r>
        <w:t xml:space="preserve"> vehicle</w:t>
      </w:r>
      <w:r w:rsidR="001C720F">
        <w:t xml:space="preserve"> (CMV) that he/she was driving in the performance of their </w:t>
      </w:r>
      <w:r w:rsidR="003946AD">
        <w:t xml:space="preserve">assigned </w:t>
      </w:r>
      <w:r w:rsidR="001C720F">
        <w:t>duties</w:t>
      </w:r>
      <w:r>
        <w:t>.</w:t>
      </w:r>
    </w:p>
    <w:p w14:paraId="295626A0" w14:textId="77777777" w:rsidR="008E2533" w:rsidRDefault="008E2533" w:rsidP="008E2533">
      <w:pPr>
        <w:tabs>
          <w:tab w:val="left" w:pos="360"/>
          <w:tab w:val="left" w:pos="1800"/>
        </w:tabs>
        <w:ind w:left="360" w:hanging="360"/>
      </w:pPr>
    </w:p>
    <w:p w14:paraId="295626A1" w14:textId="77777777" w:rsidR="008E2533" w:rsidRDefault="002775CA" w:rsidP="008E2533">
      <w:pPr>
        <w:tabs>
          <w:tab w:val="left" w:pos="360"/>
          <w:tab w:val="left" w:pos="1800"/>
        </w:tabs>
      </w:pPr>
      <w:r>
        <w:t>4</w:t>
      </w:r>
      <w:r w:rsidR="008E2533" w:rsidRPr="00FA6E94">
        <w:t xml:space="preserve">.  </w:t>
      </w:r>
      <w:r w:rsidR="008E2533">
        <w:tab/>
      </w:r>
      <w:r w:rsidR="00194226" w:rsidRPr="00194226">
        <w:rPr>
          <w:u w:val="single"/>
        </w:rPr>
        <w:t xml:space="preserve">POST-ACCIDENT </w:t>
      </w:r>
      <w:r w:rsidR="008E2533" w:rsidRPr="00194226">
        <w:rPr>
          <w:u w:val="single"/>
        </w:rPr>
        <w:t>RESPONSIBILITIES</w:t>
      </w:r>
      <w:r w:rsidR="008E2533" w:rsidRPr="00FA6E94">
        <w:tab/>
      </w:r>
    </w:p>
    <w:p w14:paraId="295626A2" w14:textId="77777777" w:rsidR="008E2533" w:rsidRDefault="008E2533" w:rsidP="008E2533">
      <w:pPr>
        <w:tabs>
          <w:tab w:val="left" w:pos="360"/>
        </w:tabs>
        <w:ind w:left="360" w:hanging="360"/>
      </w:pPr>
    </w:p>
    <w:p w14:paraId="295626A3" w14:textId="77777777" w:rsidR="008E2533" w:rsidRDefault="008E2533" w:rsidP="008E2533">
      <w:pPr>
        <w:tabs>
          <w:tab w:val="left" w:pos="360"/>
          <w:tab w:val="left" w:pos="1800"/>
        </w:tabs>
        <w:ind w:left="360" w:hanging="360"/>
      </w:pPr>
      <w:r>
        <w:tab/>
        <w:t xml:space="preserve">CDL </w:t>
      </w:r>
      <w:r w:rsidR="00661E5B">
        <w:t>H</w:t>
      </w:r>
      <w:r>
        <w:t>older</w:t>
      </w:r>
    </w:p>
    <w:p w14:paraId="295626A4" w14:textId="77777777" w:rsidR="008E2533" w:rsidRDefault="008E2533" w:rsidP="008E2533">
      <w:pPr>
        <w:tabs>
          <w:tab w:val="left" w:pos="360"/>
        </w:tabs>
        <w:ind w:left="360" w:hanging="360"/>
      </w:pPr>
    </w:p>
    <w:p w14:paraId="295626A5" w14:textId="77777777" w:rsidR="008E2533" w:rsidRDefault="0031108C" w:rsidP="008E2533">
      <w:pPr>
        <w:pStyle w:val="ListParagraph"/>
        <w:numPr>
          <w:ilvl w:val="0"/>
          <w:numId w:val="6"/>
        </w:numPr>
        <w:tabs>
          <w:tab w:val="left" w:pos="360"/>
        </w:tabs>
      </w:pPr>
      <w:r>
        <w:t>S</w:t>
      </w:r>
      <w:r w:rsidR="008E2533">
        <w:t>eek medical attention and/or assistance immediately</w:t>
      </w:r>
      <w:r w:rsidR="00661E5B">
        <w:t>.</w:t>
      </w:r>
    </w:p>
    <w:p w14:paraId="295626A6" w14:textId="77777777" w:rsidR="008E2533" w:rsidRDefault="008E2533" w:rsidP="008E2533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Notify supervisor immediately of </w:t>
      </w:r>
      <w:r w:rsidR="00661E5B">
        <w:t>the</w:t>
      </w:r>
      <w:r>
        <w:t xml:space="preserve"> accident involving a </w:t>
      </w:r>
      <w:r w:rsidR="001C720F">
        <w:t>CMV</w:t>
      </w:r>
      <w:r>
        <w:t xml:space="preserve"> vehicle.</w:t>
      </w:r>
    </w:p>
    <w:p w14:paraId="295626A7" w14:textId="77777777" w:rsidR="008E2533" w:rsidRDefault="008E2533" w:rsidP="008E2533">
      <w:pPr>
        <w:pStyle w:val="ListParagraph"/>
        <w:numPr>
          <w:ilvl w:val="0"/>
          <w:numId w:val="6"/>
        </w:numPr>
        <w:tabs>
          <w:tab w:val="left" w:pos="360"/>
        </w:tabs>
      </w:pPr>
      <w:r>
        <w:t xml:space="preserve">Remain available for </w:t>
      </w:r>
      <w:r w:rsidR="0060199C">
        <w:t>drug and alcohol</w:t>
      </w:r>
      <w:r w:rsidR="004E11A7">
        <w:t xml:space="preserve"> </w:t>
      </w:r>
      <w:r>
        <w:t xml:space="preserve">testing for a maximum period of 32 hours after the accident, unless instructed </w:t>
      </w:r>
      <w:r w:rsidR="0031108C">
        <w:t xml:space="preserve">testing is not </w:t>
      </w:r>
      <w:r>
        <w:t>required.</w:t>
      </w:r>
    </w:p>
    <w:p w14:paraId="295626A8" w14:textId="77777777" w:rsidR="008E2533" w:rsidRDefault="008E2533" w:rsidP="008E2533">
      <w:pPr>
        <w:pStyle w:val="ListParagraph"/>
        <w:numPr>
          <w:ilvl w:val="0"/>
          <w:numId w:val="6"/>
        </w:numPr>
        <w:tabs>
          <w:tab w:val="left" w:pos="360"/>
        </w:tabs>
      </w:pPr>
      <w:r>
        <w:t>Failure to remain available</w:t>
      </w:r>
      <w:r w:rsidR="0031108C">
        <w:t xml:space="preserve"> </w:t>
      </w:r>
      <w:r>
        <w:t>will be treated as a refusal to test.</w:t>
      </w:r>
    </w:p>
    <w:p w14:paraId="295626A9" w14:textId="77777777" w:rsidR="009664C7" w:rsidRDefault="009664C7" w:rsidP="000271D7">
      <w:pPr>
        <w:tabs>
          <w:tab w:val="left" w:pos="360"/>
        </w:tabs>
        <w:ind w:left="360"/>
      </w:pPr>
    </w:p>
    <w:p w14:paraId="7C6ADB58" w14:textId="77777777" w:rsidR="001C47E1" w:rsidRDefault="001C47E1">
      <w:r>
        <w:br w:type="page"/>
      </w:r>
    </w:p>
    <w:p w14:paraId="295626AA" w14:textId="240C06BA" w:rsidR="00DE72EF" w:rsidRDefault="00DE72EF" w:rsidP="000271D7">
      <w:pPr>
        <w:tabs>
          <w:tab w:val="left" w:pos="360"/>
        </w:tabs>
        <w:ind w:left="360"/>
      </w:pPr>
      <w:r>
        <w:lastRenderedPageBreak/>
        <w:t>Supervisor</w:t>
      </w:r>
    </w:p>
    <w:p w14:paraId="295626AB" w14:textId="77777777" w:rsidR="008C5F7A" w:rsidRDefault="008C5F7A" w:rsidP="000271D7">
      <w:pPr>
        <w:tabs>
          <w:tab w:val="left" w:pos="360"/>
        </w:tabs>
        <w:ind w:left="360"/>
      </w:pPr>
    </w:p>
    <w:p w14:paraId="295626AC" w14:textId="1005A6F3" w:rsidR="00DE72EF" w:rsidRDefault="00DE72EF" w:rsidP="000271D7">
      <w:pPr>
        <w:pStyle w:val="ListParagraph"/>
        <w:numPr>
          <w:ilvl w:val="0"/>
          <w:numId w:val="9"/>
        </w:numPr>
        <w:tabs>
          <w:tab w:val="left" w:pos="360"/>
        </w:tabs>
        <w:ind w:left="1080"/>
      </w:pPr>
      <w:r>
        <w:t xml:space="preserve">Contact the </w:t>
      </w:r>
      <w:r w:rsidR="0031108C">
        <w:t>Environment</w:t>
      </w:r>
      <w:r w:rsidR="008C5F7A">
        <w:t>al</w:t>
      </w:r>
      <w:r w:rsidR="0031108C">
        <w:t xml:space="preserve"> Health and Safety O</w:t>
      </w:r>
      <w:r>
        <w:t xml:space="preserve">fficer </w:t>
      </w:r>
      <w:r w:rsidR="0031108C">
        <w:t xml:space="preserve">(EHS Officer) </w:t>
      </w:r>
      <w:r>
        <w:t xml:space="preserve">immediately </w:t>
      </w:r>
      <w:r w:rsidR="000271D7">
        <w:t>at 979-458-6697 or 979-</w:t>
      </w:r>
      <w:r w:rsidR="003946AD">
        <w:t>321-0606</w:t>
      </w:r>
      <w:r>
        <w:t xml:space="preserve"> upon notification of an accident involving a CDL holder</w:t>
      </w:r>
      <w:r w:rsidR="00F50329">
        <w:t xml:space="preserve"> </w:t>
      </w:r>
      <w:r w:rsidR="008C5F7A">
        <w:t>in a</w:t>
      </w:r>
      <w:r w:rsidR="003946AD">
        <w:t>n</w:t>
      </w:r>
      <w:r w:rsidR="008C5F7A">
        <w:t xml:space="preserve"> </w:t>
      </w:r>
      <w:r w:rsidR="003946AD">
        <w:t xml:space="preserve">agency </w:t>
      </w:r>
      <w:r w:rsidR="00F50329">
        <w:t>vehicle</w:t>
      </w:r>
      <w:r w:rsidR="000271D7">
        <w:t>.</w:t>
      </w:r>
    </w:p>
    <w:p w14:paraId="295626AD" w14:textId="77777777" w:rsidR="00DB02A3" w:rsidRDefault="00DB02A3" w:rsidP="00FE7EA0">
      <w:pPr>
        <w:tabs>
          <w:tab w:val="left" w:pos="360"/>
        </w:tabs>
      </w:pPr>
    </w:p>
    <w:p w14:paraId="295626AE" w14:textId="633ADB07" w:rsidR="00DB02A3" w:rsidRDefault="00DB02A3" w:rsidP="00F128ED">
      <w:pPr>
        <w:tabs>
          <w:tab w:val="left" w:pos="360"/>
          <w:tab w:val="left" w:pos="1080"/>
        </w:tabs>
        <w:ind w:left="1080"/>
      </w:pPr>
      <w:r w:rsidRPr="00F128ED">
        <w:rPr>
          <w:b/>
        </w:rPr>
        <w:t>N</w:t>
      </w:r>
      <w:r w:rsidR="00F128ED">
        <w:rPr>
          <w:b/>
        </w:rPr>
        <w:t>ote</w:t>
      </w:r>
      <w:r w:rsidRPr="00DE0374">
        <w:rPr>
          <w:b/>
        </w:rPr>
        <w:t>:</w:t>
      </w:r>
      <w:r>
        <w:t xml:space="preserve">  </w:t>
      </w:r>
      <w:r w:rsidR="003946AD">
        <w:t>E</w:t>
      </w:r>
      <w:r w:rsidR="00DE0374">
        <w:t xml:space="preserve">mployees are subject to reasonable suspicion testing for drugs and/or alcohol </w:t>
      </w:r>
      <w:r w:rsidR="00E17EB7">
        <w:t xml:space="preserve">use </w:t>
      </w:r>
      <w:r w:rsidR="00DE0374">
        <w:t xml:space="preserve">as defined in System Regulation 34.02.01.  </w:t>
      </w:r>
      <w:r w:rsidR="00F128ED">
        <w:t xml:space="preserve">Reasonable suspicion testing </w:t>
      </w:r>
      <w:r w:rsidR="00DE0374">
        <w:t>is</w:t>
      </w:r>
      <w:r w:rsidR="00F128ED">
        <w:t xml:space="preserve"> based on specific, contemporaneous, articulable observations concerning the appearance, behavior, speech or body odor of the employee.  </w:t>
      </w:r>
      <w:r>
        <w:t xml:space="preserve">If the supervisor determines there is evidence the </w:t>
      </w:r>
      <w:r w:rsidR="00F128ED">
        <w:t>CDL holder</w:t>
      </w:r>
      <w:r>
        <w:t xml:space="preserve"> should submit to a reasonable suspicion test, </w:t>
      </w:r>
      <w:r w:rsidR="003946AD">
        <w:t xml:space="preserve">Agency </w:t>
      </w:r>
      <w:r w:rsidR="00E17EB7">
        <w:t xml:space="preserve">Rule </w:t>
      </w:r>
      <w:r w:rsidR="00E17EB7" w:rsidRPr="00FE7EA0">
        <w:t>34.0</w:t>
      </w:r>
      <w:r w:rsidR="0028145C">
        <w:t>2</w:t>
      </w:r>
      <w:r w:rsidR="00E17EB7" w:rsidRPr="00FE7EA0">
        <w:t>.99.F1</w:t>
      </w:r>
      <w:r w:rsidR="00E17EB7">
        <w:t xml:space="preserve">, </w:t>
      </w:r>
      <w:r w:rsidRPr="0028145C">
        <w:rPr>
          <w:i/>
        </w:rPr>
        <w:t>Drug and Alcohol Abuse and Rehabilitation Programs</w:t>
      </w:r>
      <w:r w:rsidR="00E17EB7">
        <w:t xml:space="preserve"> will be followed</w:t>
      </w:r>
      <w:r>
        <w:t xml:space="preserve"> (post-accident timeframes for drug and alcohol testing apply).</w:t>
      </w:r>
    </w:p>
    <w:p w14:paraId="295626AF" w14:textId="77777777" w:rsidR="005041DE" w:rsidRDefault="005041DE" w:rsidP="005041DE">
      <w:pPr>
        <w:tabs>
          <w:tab w:val="left" w:pos="360"/>
        </w:tabs>
      </w:pPr>
    </w:p>
    <w:p w14:paraId="295626B0" w14:textId="77777777" w:rsidR="005041DE" w:rsidRDefault="005041DE" w:rsidP="005041DE">
      <w:pPr>
        <w:tabs>
          <w:tab w:val="left" w:pos="360"/>
        </w:tabs>
      </w:pPr>
      <w:r>
        <w:tab/>
      </w:r>
      <w:r w:rsidR="0031108C">
        <w:t>EHS Officer</w:t>
      </w:r>
    </w:p>
    <w:p w14:paraId="295626B1" w14:textId="77777777" w:rsidR="008C5F7A" w:rsidRDefault="008C5F7A" w:rsidP="005041DE">
      <w:pPr>
        <w:tabs>
          <w:tab w:val="left" w:pos="360"/>
        </w:tabs>
      </w:pPr>
    </w:p>
    <w:p w14:paraId="295626B2" w14:textId="63F199DF" w:rsidR="004E11A7" w:rsidRDefault="004E11A7" w:rsidP="005041DE">
      <w:pPr>
        <w:pStyle w:val="ListParagraph"/>
        <w:numPr>
          <w:ilvl w:val="0"/>
          <w:numId w:val="10"/>
        </w:numPr>
        <w:tabs>
          <w:tab w:val="left" w:pos="360"/>
        </w:tabs>
      </w:pPr>
      <w:r>
        <w:t xml:space="preserve">Ensure to the extent possible that drug and alcohol tests are conducted within the required testing periods following an accident. </w:t>
      </w:r>
    </w:p>
    <w:p w14:paraId="295626B3" w14:textId="77777777" w:rsidR="00544029" w:rsidRDefault="0031108C" w:rsidP="005041DE">
      <w:pPr>
        <w:pStyle w:val="ListParagraph"/>
        <w:numPr>
          <w:ilvl w:val="0"/>
          <w:numId w:val="10"/>
        </w:numPr>
        <w:tabs>
          <w:tab w:val="left" w:pos="360"/>
        </w:tabs>
      </w:pPr>
      <w:r>
        <w:t xml:space="preserve">Arrange for </w:t>
      </w:r>
      <w:r w:rsidR="00544029" w:rsidRPr="001A69BD">
        <w:t>testing</w:t>
      </w:r>
      <w:r w:rsidR="00C04017">
        <w:t>, transmittal of results</w:t>
      </w:r>
      <w:r>
        <w:t xml:space="preserve"> and payment</w:t>
      </w:r>
      <w:r w:rsidR="00C04017">
        <w:t xml:space="preserve"> for services</w:t>
      </w:r>
      <w:r>
        <w:t xml:space="preserve"> to </w:t>
      </w:r>
      <w:r w:rsidR="00544029" w:rsidRPr="001A69BD">
        <w:t>be completed at a certified collection site.</w:t>
      </w:r>
    </w:p>
    <w:p w14:paraId="295626B4" w14:textId="77777777" w:rsidR="00404F1A" w:rsidRDefault="00900765" w:rsidP="005041DE">
      <w:pPr>
        <w:pStyle w:val="ListParagraph"/>
        <w:numPr>
          <w:ilvl w:val="0"/>
          <w:numId w:val="10"/>
        </w:numPr>
        <w:tabs>
          <w:tab w:val="left" w:pos="360"/>
        </w:tabs>
      </w:pPr>
      <w:r>
        <w:t>Prepare, document</w:t>
      </w:r>
      <w:r w:rsidR="00404F1A">
        <w:t xml:space="preserve"> and maintain </w:t>
      </w:r>
      <w:r w:rsidR="00D466C4">
        <w:t xml:space="preserve">CDL holder's </w:t>
      </w:r>
      <w:r w:rsidR="00404F1A">
        <w:t xml:space="preserve">testing. </w:t>
      </w:r>
    </w:p>
    <w:p w14:paraId="295626B5" w14:textId="77777777" w:rsidR="008E2533" w:rsidRDefault="008E2533" w:rsidP="000271D7">
      <w:pPr>
        <w:tabs>
          <w:tab w:val="left" w:pos="360"/>
          <w:tab w:val="left" w:pos="1800"/>
        </w:tabs>
        <w:ind w:left="720" w:hanging="360"/>
      </w:pPr>
    </w:p>
    <w:p w14:paraId="295626B6" w14:textId="77777777" w:rsidR="002775CA" w:rsidRDefault="002775CA" w:rsidP="002775CA">
      <w:pPr>
        <w:tabs>
          <w:tab w:val="left" w:pos="360"/>
          <w:tab w:val="left" w:pos="1800"/>
        </w:tabs>
        <w:ind w:left="360" w:hanging="360"/>
      </w:pPr>
      <w:r>
        <w:t>5.</w:t>
      </w:r>
      <w:r>
        <w:tab/>
      </w:r>
      <w:r w:rsidRPr="00CF35AA">
        <w:rPr>
          <w:u w:val="single"/>
        </w:rPr>
        <w:t>TESTING</w:t>
      </w:r>
    </w:p>
    <w:p w14:paraId="295626B7" w14:textId="77777777" w:rsidR="002775CA" w:rsidRPr="002775CA" w:rsidRDefault="002775CA" w:rsidP="002775CA">
      <w:pPr>
        <w:tabs>
          <w:tab w:val="left" w:pos="360"/>
          <w:tab w:val="left" w:pos="1800"/>
        </w:tabs>
        <w:ind w:left="360" w:hanging="360"/>
      </w:pPr>
    </w:p>
    <w:p w14:paraId="295626B8" w14:textId="77777777" w:rsidR="002775CA" w:rsidRPr="002775CA" w:rsidRDefault="002775CA" w:rsidP="002775CA">
      <w:pPr>
        <w:tabs>
          <w:tab w:val="left" w:pos="360"/>
          <w:tab w:val="left" w:pos="1800"/>
        </w:tabs>
        <w:ind w:left="360" w:hanging="360"/>
      </w:pPr>
      <w:r w:rsidRPr="002775CA">
        <w:tab/>
        <w:t>Alcohol Testing</w:t>
      </w:r>
    </w:p>
    <w:p w14:paraId="295626B9" w14:textId="77777777" w:rsidR="002775CA" w:rsidRDefault="002775CA" w:rsidP="002775CA">
      <w:pPr>
        <w:tabs>
          <w:tab w:val="left" w:pos="360"/>
          <w:tab w:val="left" w:pos="1800"/>
        </w:tabs>
        <w:ind w:left="360" w:hanging="360"/>
      </w:pPr>
    </w:p>
    <w:p w14:paraId="295626BA" w14:textId="46A8E34B" w:rsidR="002775CA" w:rsidRDefault="002775CA" w:rsidP="002775CA">
      <w:pPr>
        <w:pStyle w:val="ListParagraph"/>
        <w:numPr>
          <w:ilvl w:val="0"/>
          <w:numId w:val="7"/>
        </w:numPr>
        <w:tabs>
          <w:tab w:val="left" w:pos="360"/>
          <w:tab w:val="left" w:pos="1800"/>
        </w:tabs>
        <w:ind w:left="1080"/>
      </w:pPr>
      <w:r>
        <w:t xml:space="preserve">Alcohol testing will be administered to the </w:t>
      </w:r>
      <w:r w:rsidR="00FF1F86">
        <w:t>driver</w:t>
      </w:r>
      <w:r>
        <w:t xml:space="preserve"> as soon as possible, but no later than 8 hours </w:t>
      </w:r>
      <w:r w:rsidR="000A17D8">
        <w:t>after</w:t>
      </w:r>
      <w:r>
        <w:t xml:space="preserve"> the accident.  </w:t>
      </w:r>
    </w:p>
    <w:p w14:paraId="295626BB" w14:textId="77777777" w:rsidR="002775CA" w:rsidRDefault="002775CA" w:rsidP="002775CA">
      <w:pPr>
        <w:pStyle w:val="ListParagraph"/>
        <w:numPr>
          <w:ilvl w:val="0"/>
          <w:numId w:val="7"/>
        </w:numPr>
        <w:tabs>
          <w:tab w:val="left" w:pos="360"/>
          <w:tab w:val="left" w:pos="1800"/>
        </w:tabs>
        <w:ind w:left="1080"/>
      </w:pPr>
      <w:r>
        <w:t xml:space="preserve">If the test is not administered within 8 hours following the accident, attempts to administer the test will cease.  </w:t>
      </w:r>
    </w:p>
    <w:p w14:paraId="295626BC" w14:textId="77777777" w:rsidR="002775CA" w:rsidRDefault="002775CA" w:rsidP="002775CA">
      <w:pPr>
        <w:pStyle w:val="ListParagraph"/>
        <w:numPr>
          <w:ilvl w:val="0"/>
          <w:numId w:val="7"/>
        </w:numPr>
        <w:tabs>
          <w:tab w:val="left" w:pos="360"/>
          <w:tab w:val="left" w:pos="1800"/>
        </w:tabs>
        <w:ind w:left="1080"/>
      </w:pPr>
      <w:r>
        <w:t xml:space="preserve">The </w:t>
      </w:r>
      <w:r w:rsidR="00FF1F86">
        <w:t>EHS Officer</w:t>
      </w:r>
      <w:r>
        <w:t xml:space="preserve"> will prepare and maintain documentation </w:t>
      </w:r>
      <w:r w:rsidR="00FF1F86">
        <w:t xml:space="preserve">stating the reasons the test was not promptly </w:t>
      </w:r>
      <w:r>
        <w:t>administered</w:t>
      </w:r>
      <w:r w:rsidR="00110C80">
        <w:t xml:space="preserve"> within the time limit</w:t>
      </w:r>
      <w:r>
        <w:t>.</w:t>
      </w:r>
    </w:p>
    <w:p w14:paraId="295626BD" w14:textId="77777777" w:rsidR="002775CA" w:rsidRDefault="002775CA" w:rsidP="002775CA">
      <w:pPr>
        <w:tabs>
          <w:tab w:val="left" w:pos="360"/>
          <w:tab w:val="left" w:pos="1800"/>
        </w:tabs>
        <w:ind w:left="360" w:hanging="360"/>
        <w:rPr>
          <w:b/>
        </w:rPr>
      </w:pPr>
      <w:r w:rsidRPr="00CF35AA">
        <w:rPr>
          <w:b/>
        </w:rPr>
        <w:tab/>
      </w:r>
    </w:p>
    <w:p w14:paraId="295626BE" w14:textId="77777777" w:rsidR="002775CA" w:rsidRPr="002775CA" w:rsidRDefault="002775CA" w:rsidP="002775CA">
      <w:pPr>
        <w:tabs>
          <w:tab w:val="left" w:pos="360"/>
          <w:tab w:val="left" w:pos="1800"/>
        </w:tabs>
        <w:ind w:left="360" w:hanging="360"/>
      </w:pPr>
      <w:r w:rsidRPr="002775CA">
        <w:tab/>
        <w:t>Drug Testing</w:t>
      </w:r>
    </w:p>
    <w:p w14:paraId="295626BF" w14:textId="77777777" w:rsidR="002775CA" w:rsidRDefault="002775CA" w:rsidP="002775CA">
      <w:pPr>
        <w:tabs>
          <w:tab w:val="left" w:pos="360"/>
          <w:tab w:val="left" w:pos="1800"/>
        </w:tabs>
        <w:ind w:left="360" w:hanging="360"/>
      </w:pPr>
    </w:p>
    <w:p w14:paraId="295626C0" w14:textId="19B2C332" w:rsidR="002775CA" w:rsidRDefault="002775CA" w:rsidP="002775CA">
      <w:pPr>
        <w:pStyle w:val="ListParagraph"/>
        <w:numPr>
          <w:ilvl w:val="0"/>
          <w:numId w:val="8"/>
        </w:numPr>
        <w:tabs>
          <w:tab w:val="left" w:pos="360"/>
          <w:tab w:val="left" w:pos="1800"/>
        </w:tabs>
        <w:ind w:left="1080"/>
      </w:pPr>
      <w:r>
        <w:t xml:space="preserve">Drug testing will be administered to the </w:t>
      </w:r>
      <w:r w:rsidR="00FF1F86">
        <w:t>driver</w:t>
      </w:r>
      <w:r>
        <w:t xml:space="preserve"> as soon as possible, but no later than 32 hours following the accident.  </w:t>
      </w:r>
    </w:p>
    <w:p w14:paraId="295626C1" w14:textId="25593026" w:rsidR="002775CA" w:rsidRDefault="002775CA" w:rsidP="002775CA">
      <w:pPr>
        <w:pStyle w:val="ListParagraph"/>
        <w:numPr>
          <w:ilvl w:val="0"/>
          <w:numId w:val="8"/>
        </w:numPr>
        <w:tabs>
          <w:tab w:val="left" w:pos="360"/>
          <w:tab w:val="left" w:pos="1800"/>
        </w:tabs>
        <w:ind w:left="1080"/>
      </w:pPr>
      <w:r>
        <w:t xml:space="preserve">If the test is not administered within the 32 hour time limit, attempts to administer the test will cease.   </w:t>
      </w:r>
    </w:p>
    <w:p w14:paraId="295626C2" w14:textId="77777777" w:rsidR="002775CA" w:rsidRDefault="002775CA" w:rsidP="002775CA">
      <w:pPr>
        <w:pStyle w:val="ListParagraph"/>
        <w:numPr>
          <w:ilvl w:val="0"/>
          <w:numId w:val="8"/>
        </w:numPr>
        <w:tabs>
          <w:tab w:val="left" w:pos="360"/>
          <w:tab w:val="left" w:pos="1800"/>
        </w:tabs>
        <w:ind w:left="1080"/>
      </w:pPr>
      <w:r>
        <w:t xml:space="preserve">The </w:t>
      </w:r>
      <w:r w:rsidR="00FF1F86">
        <w:t>EHS Officer</w:t>
      </w:r>
      <w:r>
        <w:t xml:space="preserve"> will prepare and maintain documentation</w:t>
      </w:r>
      <w:r w:rsidR="00FF1F86">
        <w:t xml:space="preserve"> stating the reasons the test was not promptly administered</w:t>
      </w:r>
      <w:r w:rsidR="00110C80">
        <w:t xml:space="preserve"> within the time limit.</w:t>
      </w:r>
    </w:p>
    <w:p w14:paraId="295626C3" w14:textId="685FB5E8" w:rsidR="002775CA" w:rsidRDefault="002775CA" w:rsidP="0017300E">
      <w:pPr>
        <w:tabs>
          <w:tab w:val="left" w:pos="360"/>
          <w:tab w:val="left" w:pos="1800"/>
        </w:tabs>
        <w:ind w:left="1080" w:hanging="360"/>
      </w:pPr>
      <w:r>
        <w:tab/>
      </w:r>
      <w:r w:rsidRPr="008037FC">
        <w:rPr>
          <w:b/>
        </w:rPr>
        <w:t>Note:</w:t>
      </w:r>
      <w:r>
        <w:t xml:space="preserve">  </w:t>
      </w:r>
      <w:r w:rsidR="00110C80">
        <w:t>To the extent possible, b</w:t>
      </w:r>
      <w:r>
        <w:t xml:space="preserve">oth the drug and alcohol tests will be administered to the driver within 8 hours of the accident.   If the 8 hour time limit is exceeded but </w:t>
      </w:r>
      <w:r w:rsidR="00110C80">
        <w:t xml:space="preserve">testing </w:t>
      </w:r>
      <w:r>
        <w:t xml:space="preserve">still </w:t>
      </w:r>
      <w:r w:rsidR="00110C80">
        <w:t xml:space="preserve">occurs </w:t>
      </w:r>
      <w:r>
        <w:t>within the 32 hour time limit, then the drug test will be performed.</w:t>
      </w:r>
    </w:p>
    <w:p w14:paraId="295626C4" w14:textId="77777777" w:rsidR="00B95347" w:rsidRDefault="00B95347" w:rsidP="00FE7EA0">
      <w:pPr>
        <w:tabs>
          <w:tab w:val="left" w:pos="360"/>
          <w:tab w:val="left" w:pos="1800"/>
        </w:tabs>
        <w:ind w:left="1080" w:hanging="360"/>
      </w:pPr>
    </w:p>
    <w:p w14:paraId="4CAB2AFE" w14:textId="77777777" w:rsidR="001C47E1" w:rsidRDefault="001C47E1">
      <w:r>
        <w:br w:type="page"/>
      </w:r>
    </w:p>
    <w:p w14:paraId="295626C5" w14:textId="2A6DADA4" w:rsidR="008E2533" w:rsidRDefault="00CD504A" w:rsidP="002775CA">
      <w:pPr>
        <w:tabs>
          <w:tab w:val="left" w:pos="360"/>
          <w:tab w:val="left" w:pos="1800"/>
        </w:tabs>
        <w:ind w:left="720" w:hanging="360"/>
      </w:pPr>
      <w:r>
        <w:lastRenderedPageBreak/>
        <w:t>Pending Results</w:t>
      </w:r>
    </w:p>
    <w:p w14:paraId="295626C6" w14:textId="77777777" w:rsidR="00CD504A" w:rsidRDefault="00CD504A" w:rsidP="002775CA">
      <w:pPr>
        <w:tabs>
          <w:tab w:val="left" w:pos="360"/>
          <w:tab w:val="left" w:pos="1800"/>
        </w:tabs>
        <w:ind w:left="720" w:hanging="360"/>
      </w:pPr>
    </w:p>
    <w:p w14:paraId="295626C7" w14:textId="77777777" w:rsidR="00CD504A" w:rsidRDefault="00CD504A" w:rsidP="00CD504A">
      <w:pPr>
        <w:tabs>
          <w:tab w:val="left" w:pos="360"/>
          <w:tab w:val="left" w:pos="1800"/>
        </w:tabs>
        <w:ind w:left="720"/>
      </w:pPr>
      <w:r>
        <w:t xml:space="preserve">If a </w:t>
      </w:r>
      <w:r w:rsidR="00287D4D">
        <w:t>driver</w:t>
      </w:r>
      <w:r>
        <w:t xml:space="preserve"> is administered a post-accident drug and alcohol test, </w:t>
      </w:r>
      <w:r w:rsidR="006534E3">
        <w:t xml:space="preserve">he/she </w:t>
      </w:r>
      <w:r>
        <w:t xml:space="preserve">will not be removed from duty pending the results unless the test is documented as a reasonable suspicion testing. </w:t>
      </w:r>
    </w:p>
    <w:p w14:paraId="295626C8" w14:textId="77777777" w:rsidR="00BC3D1E" w:rsidRDefault="00BC3D1E" w:rsidP="00BC3D1E"/>
    <w:p w14:paraId="295626C9" w14:textId="77777777" w:rsidR="001C720F" w:rsidRDefault="001C720F" w:rsidP="001C720F">
      <w:pPr>
        <w:ind w:left="720" w:hanging="360"/>
      </w:pPr>
      <w:r>
        <w:t>Refusal to Take Test</w:t>
      </w:r>
    </w:p>
    <w:p w14:paraId="295626CA" w14:textId="77777777" w:rsidR="001C720F" w:rsidRDefault="001C720F" w:rsidP="001C720F">
      <w:pPr>
        <w:ind w:left="720" w:hanging="360"/>
      </w:pPr>
    </w:p>
    <w:p w14:paraId="295626CB" w14:textId="77777777" w:rsidR="001C720F" w:rsidRDefault="001C720F" w:rsidP="00FE7EA0">
      <w:pPr>
        <w:ind w:left="720"/>
      </w:pPr>
      <w:r>
        <w:t>If a CDL holder refuses to take a post-accident drug and/or alcohol test, it will be deemed a failure of the test(s).</w:t>
      </w:r>
    </w:p>
    <w:p w14:paraId="295626CC" w14:textId="77777777" w:rsidR="001C720F" w:rsidRDefault="001C720F" w:rsidP="00FE7EA0"/>
    <w:p w14:paraId="295626CD" w14:textId="77777777" w:rsidR="001C720F" w:rsidRDefault="001C720F" w:rsidP="001C720F">
      <w:pPr>
        <w:ind w:left="720" w:hanging="360"/>
      </w:pPr>
      <w:r>
        <w:t>Failure of Test</w:t>
      </w:r>
    </w:p>
    <w:p w14:paraId="295626CE" w14:textId="77777777" w:rsidR="001C720F" w:rsidRDefault="001C720F" w:rsidP="001C720F">
      <w:pPr>
        <w:ind w:left="720" w:hanging="360"/>
      </w:pPr>
    </w:p>
    <w:p w14:paraId="295626CF" w14:textId="58248192" w:rsidR="001C720F" w:rsidRDefault="001C720F" w:rsidP="00FE7EA0">
      <w:pPr>
        <w:ind w:left="720"/>
      </w:pPr>
      <w:r>
        <w:t>If a CDL holder fails a post-accident drug and/or alcohol test, he/she will be immediately prohibited from operating any vehicles in the performance of his/her duties and will be subject to disciplinary actions, in accordance with System discipline and dismissal policies and regulations.</w:t>
      </w:r>
    </w:p>
    <w:p w14:paraId="295626D0" w14:textId="77777777" w:rsidR="001C720F" w:rsidRPr="00FA6E94" w:rsidRDefault="001C720F" w:rsidP="00FE7EA0">
      <w:pPr>
        <w:ind w:left="720"/>
      </w:pPr>
    </w:p>
    <w:p w14:paraId="295626D1" w14:textId="77777777" w:rsidR="0048364C" w:rsidRDefault="0048364C" w:rsidP="008C5F7A">
      <w:pPr>
        <w:pStyle w:val="NormalWeb"/>
        <w:spacing w:before="0" w:beforeAutospacing="0" w:after="0" w:afterAutospacing="0"/>
        <w:jc w:val="center"/>
      </w:pPr>
    </w:p>
    <w:p w14:paraId="295626D2" w14:textId="07E94669" w:rsidR="00364A06" w:rsidRDefault="00BC3D1E" w:rsidP="008C5F7A">
      <w:pPr>
        <w:pStyle w:val="NormalWeb"/>
        <w:spacing w:before="0" w:beforeAutospacing="0" w:after="0" w:afterAutospacing="0"/>
        <w:jc w:val="center"/>
      </w:pPr>
      <w:r w:rsidRPr="00FA6E94">
        <w:t>C</w:t>
      </w:r>
      <w:r>
        <w:t>ONTACT</w:t>
      </w:r>
      <w:r w:rsidRPr="00FA6E94">
        <w:t xml:space="preserve">:  </w:t>
      </w:r>
      <w:r w:rsidR="00D26209">
        <w:t xml:space="preserve"> </w:t>
      </w:r>
      <w:hyperlink r:id="rId14" w:history="1">
        <w:r w:rsidR="0048364C" w:rsidRPr="0048364C">
          <w:rPr>
            <w:rStyle w:val="Hyperlink"/>
          </w:rPr>
          <w:t>Environment</w:t>
        </w:r>
        <w:r w:rsidR="00887E97">
          <w:rPr>
            <w:rStyle w:val="Hyperlink"/>
          </w:rPr>
          <w:t>al</w:t>
        </w:r>
        <w:r w:rsidR="0048364C" w:rsidRPr="0048364C">
          <w:rPr>
            <w:rStyle w:val="Hyperlink"/>
          </w:rPr>
          <w:t xml:space="preserve"> Health Safety Officer</w:t>
        </w:r>
      </w:hyperlink>
      <w:r w:rsidRPr="00FA6E94">
        <w:t xml:space="preserve">, </w:t>
      </w:r>
      <w:r w:rsidR="003946AD">
        <w:t>(</w:t>
      </w:r>
      <w:r w:rsidRPr="00FA6E94">
        <w:t>979</w:t>
      </w:r>
      <w:r w:rsidR="003946AD">
        <w:t>)</w:t>
      </w:r>
      <w:r w:rsidR="008B114D">
        <w:t xml:space="preserve"> </w:t>
      </w:r>
      <w:r w:rsidR="00DC2B50">
        <w:t>458-6697</w:t>
      </w:r>
    </w:p>
    <w:sectPr w:rsidR="00364A06" w:rsidSect="009664C7">
      <w:footerReference w:type="default" r:id="rId15"/>
      <w:pgSz w:w="12240" w:h="15840" w:code="1"/>
      <w:pgMar w:top="81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26D7" w14:textId="77777777" w:rsidR="00067FE8" w:rsidRDefault="00067FE8">
      <w:r>
        <w:separator/>
      </w:r>
    </w:p>
  </w:endnote>
  <w:endnote w:type="continuationSeparator" w:id="0">
    <w:p w14:paraId="295626D8" w14:textId="77777777" w:rsidR="00067FE8" w:rsidRDefault="0006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26DC" w14:textId="77777777" w:rsidR="0096267D" w:rsidRDefault="0096267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87E97">
      <w:rPr>
        <w:noProof/>
      </w:rPr>
      <w:t>2</w:t>
    </w:r>
    <w:r>
      <w:fldChar w:fldCharType="end"/>
    </w:r>
    <w:r>
      <w:t xml:space="preserve"> of </w:t>
    </w:r>
    <w:fldSimple w:instr=" NUMPAGES ">
      <w:r w:rsidR="00887E9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26D5" w14:textId="77777777" w:rsidR="00067FE8" w:rsidRDefault="00067FE8">
      <w:r>
        <w:separator/>
      </w:r>
    </w:p>
  </w:footnote>
  <w:footnote w:type="continuationSeparator" w:id="0">
    <w:p w14:paraId="295626D6" w14:textId="77777777" w:rsidR="00067FE8" w:rsidRDefault="0006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A82"/>
    <w:multiLevelType w:val="hybridMultilevel"/>
    <w:tmpl w:val="24A8A0AC"/>
    <w:lvl w:ilvl="0" w:tplc="8CAAC2C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9583608"/>
    <w:multiLevelType w:val="hybridMultilevel"/>
    <w:tmpl w:val="1BA8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3D0"/>
    <w:multiLevelType w:val="hybridMultilevel"/>
    <w:tmpl w:val="9B7E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C9E"/>
    <w:multiLevelType w:val="hybridMultilevel"/>
    <w:tmpl w:val="0F58F2A6"/>
    <w:lvl w:ilvl="0" w:tplc="FDB8478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8C64109"/>
    <w:multiLevelType w:val="hybridMultilevel"/>
    <w:tmpl w:val="026081E6"/>
    <w:lvl w:ilvl="0" w:tplc="36327EB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9C632A6"/>
    <w:multiLevelType w:val="hybridMultilevel"/>
    <w:tmpl w:val="71F42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0145A"/>
    <w:multiLevelType w:val="hybridMultilevel"/>
    <w:tmpl w:val="D2C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168F"/>
    <w:multiLevelType w:val="hybridMultilevel"/>
    <w:tmpl w:val="40C09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860BE"/>
    <w:multiLevelType w:val="hybridMultilevel"/>
    <w:tmpl w:val="1F1CF13C"/>
    <w:lvl w:ilvl="0" w:tplc="FDB8478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9" w15:restartNumberingAfterBreak="0">
    <w:nsid w:val="74861C1C"/>
    <w:multiLevelType w:val="hybridMultilevel"/>
    <w:tmpl w:val="675CC96A"/>
    <w:lvl w:ilvl="0" w:tplc="00D42E38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 w16cid:durableId="626592968">
    <w:abstractNumId w:val="8"/>
  </w:num>
  <w:num w:numId="2" w16cid:durableId="898902743">
    <w:abstractNumId w:val="9"/>
  </w:num>
  <w:num w:numId="3" w16cid:durableId="1150707369">
    <w:abstractNumId w:val="0"/>
  </w:num>
  <w:num w:numId="4" w16cid:durableId="2078284131">
    <w:abstractNumId w:val="3"/>
  </w:num>
  <w:num w:numId="5" w16cid:durableId="116265917">
    <w:abstractNumId w:val="4"/>
  </w:num>
  <w:num w:numId="6" w16cid:durableId="1419447892">
    <w:abstractNumId w:val="5"/>
  </w:num>
  <w:num w:numId="7" w16cid:durableId="464810048">
    <w:abstractNumId w:val="2"/>
  </w:num>
  <w:num w:numId="8" w16cid:durableId="708993150">
    <w:abstractNumId w:val="6"/>
  </w:num>
  <w:num w:numId="9" w16cid:durableId="46686218">
    <w:abstractNumId w:val="1"/>
  </w:num>
  <w:num w:numId="10" w16cid:durableId="98528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oo38nbDxJB2MAK5RL/wQ6Cq2rgIuH5T9BgKW5qgXobolcNKbGRUcOyBik/w4decFUyBlYIxXg5+CfHhHeuO1Q==" w:salt="P51NX6me2Cdq2Y7EyAFTQ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1374A"/>
    <w:rsid w:val="000271D7"/>
    <w:rsid w:val="000417E8"/>
    <w:rsid w:val="00044AF4"/>
    <w:rsid w:val="00067FE8"/>
    <w:rsid w:val="000748EC"/>
    <w:rsid w:val="000A17D8"/>
    <w:rsid w:val="000A4975"/>
    <w:rsid w:val="000A7154"/>
    <w:rsid w:val="000C2535"/>
    <w:rsid w:val="000D04FC"/>
    <w:rsid w:val="00110C80"/>
    <w:rsid w:val="00113D92"/>
    <w:rsid w:val="0017300E"/>
    <w:rsid w:val="00194226"/>
    <w:rsid w:val="001A1714"/>
    <w:rsid w:val="001A1A19"/>
    <w:rsid w:val="001A69BD"/>
    <w:rsid w:val="001C47E1"/>
    <w:rsid w:val="001C6D62"/>
    <w:rsid w:val="001C720F"/>
    <w:rsid w:val="001C765B"/>
    <w:rsid w:val="001D793D"/>
    <w:rsid w:val="001F3A90"/>
    <w:rsid w:val="00202E40"/>
    <w:rsid w:val="002346A4"/>
    <w:rsid w:val="0025270B"/>
    <w:rsid w:val="00255214"/>
    <w:rsid w:val="002775CA"/>
    <w:rsid w:val="00280A7E"/>
    <w:rsid w:val="0028145C"/>
    <w:rsid w:val="00287D4D"/>
    <w:rsid w:val="002A4989"/>
    <w:rsid w:val="002C213D"/>
    <w:rsid w:val="00304C2C"/>
    <w:rsid w:val="0031108C"/>
    <w:rsid w:val="00325692"/>
    <w:rsid w:val="00350247"/>
    <w:rsid w:val="00351A06"/>
    <w:rsid w:val="00364A06"/>
    <w:rsid w:val="00383269"/>
    <w:rsid w:val="00391FDE"/>
    <w:rsid w:val="003946AD"/>
    <w:rsid w:val="003B3904"/>
    <w:rsid w:val="003E01C1"/>
    <w:rsid w:val="003F3844"/>
    <w:rsid w:val="00404F1A"/>
    <w:rsid w:val="00410168"/>
    <w:rsid w:val="004200C1"/>
    <w:rsid w:val="0048364C"/>
    <w:rsid w:val="004A103A"/>
    <w:rsid w:val="004A31FD"/>
    <w:rsid w:val="004B6E17"/>
    <w:rsid w:val="004C4967"/>
    <w:rsid w:val="004D14EB"/>
    <w:rsid w:val="004E11A7"/>
    <w:rsid w:val="004F3504"/>
    <w:rsid w:val="005041DE"/>
    <w:rsid w:val="00512F65"/>
    <w:rsid w:val="00521A61"/>
    <w:rsid w:val="00544029"/>
    <w:rsid w:val="005502F0"/>
    <w:rsid w:val="00563437"/>
    <w:rsid w:val="00592F27"/>
    <w:rsid w:val="005959F3"/>
    <w:rsid w:val="005B4AF3"/>
    <w:rsid w:val="005D0F1D"/>
    <w:rsid w:val="005D19C0"/>
    <w:rsid w:val="005D7C5F"/>
    <w:rsid w:val="0060199C"/>
    <w:rsid w:val="00616D99"/>
    <w:rsid w:val="006534E3"/>
    <w:rsid w:val="00653985"/>
    <w:rsid w:val="00661E5B"/>
    <w:rsid w:val="006632F6"/>
    <w:rsid w:val="0067066A"/>
    <w:rsid w:val="0067492D"/>
    <w:rsid w:val="0069046D"/>
    <w:rsid w:val="00694290"/>
    <w:rsid w:val="006D525B"/>
    <w:rsid w:val="006F08A2"/>
    <w:rsid w:val="006F45C0"/>
    <w:rsid w:val="006F545F"/>
    <w:rsid w:val="006F6203"/>
    <w:rsid w:val="007060A2"/>
    <w:rsid w:val="00706A6E"/>
    <w:rsid w:val="0076250C"/>
    <w:rsid w:val="007657B8"/>
    <w:rsid w:val="007A65C9"/>
    <w:rsid w:val="007B7C1B"/>
    <w:rsid w:val="008037FC"/>
    <w:rsid w:val="0081688D"/>
    <w:rsid w:val="0082042C"/>
    <w:rsid w:val="00836A0C"/>
    <w:rsid w:val="00856305"/>
    <w:rsid w:val="00866C5C"/>
    <w:rsid w:val="00872391"/>
    <w:rsid w:val="00874003"/>
    <w:rsid w:val="008852C9"/>
    <w:rsid w:val="00887E97"/>
    <w:rsid w:val="00892C33"/>
    <w:rsid w:val="008B114D"/>
    <w:rsid w:val="008C5F7A"/>
    <w:rsid w:val="008D1490"/>
    <w:rsid w:val="008D1568"/>
    <w:rsid w:val="008E1B56"/>
    <w:rsid w:val="008E2533"/>
    <w:rsid w:val="008F79FE"/>
    <w:rsid w:val="00900765"/>
    <w:rsid w:val="009303B7"/>
    <w:rsid w:val="0093607A"/>
    <w:rsid w:val="00946FD7"/>
    <w:rsid w:val="0094713D"/>
    <w:rsid w:val="0096267D"/>
    <w:rsid w:val="00963AAF"/>
    <w:rsid w:val="009664C7"/>
    <w:rsid w:val="00990242"/>
    <w:rsid w:val="009B5FE4"/>
    <w:rsid w:val="009C1C6E"/>
    <w:rsid w:val="009C2F2E"/>
    <w:rsid w:val="009E2C44"/>
    <w:rsid w:val="009E4DE7"/>
    <w:rsid w:val="009F1DAD"/>
    <w:rsid w:val="00A10170"/>
    <w:rsid w:val="00A43C89"/>
    <w:rsid w:val="00A5106A"/>
    <w:rsid w:val="00A81CDA"/>
    <w:rsid w:val="00A81F52"/>
    <w:rsid w:val="00A825E2"/>
    <w:rsid w:val="00A86F4C"/>
    <w:rsid w:val="00AA690E"/>
    <w:rsid w:val="00AD1D5A"/>
    <w:rsid w:val="00B063B1"/>
    <w:rsid w:val="00B170FE"/>
    <w:rsid w:val="00B61782"/>
    <w:rsid w:val="00B95347"/>
    <w:rsid w:val="00BC3D1E"/>
    <w:rsid w:val="00BD5BA4"/>
    <w:rsid w:val="00BF2414"/>
    <w:rsid w:val="00C04017"/>
    <w:rsid w:val="00C139AD"/>
    <w:rsid w:val="00C708E6"/>
    <w:rsid w:val="00C75F3E"/>
    <w:rsid w:val="00C8479F"/>
    <w:rsid w:val="00C85B2F"/>
    <w:rsid w:val="00CA05EC"/>
    <w:rsid w:val="00CD504A"/>
    <w:rsid w:val="00CF35AA"/>
    <w:rsid w:val="00D11C13"/>
    <w:rsid w:val="00D137CD"/>
    <w:rsid w:val="00D26209"/>
    <w:rsid w:val="00D26DBD"/>
    <w:rsid w:val="00D333DD"/>
    <w:rsid w:val="00D37786"/>
    <w:rsid w:val="00D466C4"/>
    <w:rsid w:val="00D52372"/>
    <w:rsid w:val="00D878A8"/>
    <w:rsid w:val="00DB00E0"/>
    <w:rsid w:val="00DB02A3"/>
    <w:rsid w:val="00DB7653"/>
    <w:rsid w:val="00DC1649"/>
    <w:rsid w:val="00DC2B50"/>
    <w:rsid w:val="00DD717D"/>
    <w:rsid w:val="00DE0374"/>
    <w:rsid w:val="00DE0487"/>
    <w:rsid w:val="00DE72EF"/>
    <w:rsid w:val="00DF3C42"/>
    <w:rsid w:val="00E12D3E"/>
    <w:rsid w:val="00E17EB7"/>
    <w:rsid w:val="00E35C3D"/>
    <w:rsid w:val="00E6285C"/>
    <w:rsid w:val="00E81F09"/>
    <w:rsid w:val="00E83E93"/>
    <w:rsid w:val="00EB73DF"/>
    <w:rsid w:val="00ED4A0B"/>
    <w:rsid w:val="00EE5212"/>
    <w:rsid w:val="00EF7795"/>
    <w:rsid w:val="00F01F7C"/>
    <w:rsid w:val="00F128ED"/>
    <w:rsid w:val="00F13676"/>
    <w:rsid w:val="00F50329"/>
    <w:rsid w:val="00FA2847"/>
    <w:rsid w:val="00FB42F1"/>
    <w:rsid w:val="00FC4C3A"/>
    <w:rsid w:val="00FD6354"/>
    <w:rsid w:val="00FE7EA0"/>
    <w:rsid w:val="00FF0EF3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9562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C3D1E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C3D1E"/>
    <w:rPr>
      <w:color w:val="0000FF"/>
      <w:u w:val="single"/>
    </w:rPr>
  </w:style>
  <w:style w:type="paragraph" w:styleId="BodyTextIndent">
    <w:name w:val="Body Text Indent"/>
    <w:basedOn w:val="Normal"/>
    <w:rsid w:val="00BC3D1E"/>
    <w:pPr>
      <w:ind w:left="360"/>
    </w:pPr>
    <w:rPr>
      <w:rFonts w:ascii="Arial" w:hAnsi="Arial" w:cs="Arial"/>
      <w:color w:val="000000"/>
    </w:rPr>
  </w:style>
  <w:style w:type="paragraph" w:styleId="BodyTextIndent2">
    <w:name w:val="Body Text Indent 2"/>
    <w:basedOn w:val="Normal"/>
    <w:rsid w:val="00BC3D1E"/>
    <w:pPr>
      <w:ind w:left="900" w:hanging="540"/>
    </w:pPr>
    <w:rPr>
      <w:rFonts w:ascii="Arial" w:hAnsi="Arial" w:cs="Arial"/>
      <w:color w:val="000000"/>
    </w:rPr>
  </w:style>
  <w:style w:type="paragraph" w:styleId="BodyTextIndent3">
    <w:name w:val="Body Text Indent 3"/>
    <w:basedOn w:val="Normal"/>
    <w:rsid w:val="00BC3D1E"/>
    <w:pPr>
      <w:ind w:left="900" w:hanging="450"/>
    </w:pPr>
    <w:rPr>
      <w:rFonts w:ascii="Arial" w:hAnsi="Arial" w:cs="Arial"/>
      <w:color w:val="000000"/>
    </w:rPr>
  </w:style>
  <w:style w:type="character" w:styleId="FollowedHyperlink">
    <w:name w:val="FollowedHyperlink"/>
    <w:rsid w:val="00325692"/>
    <w:rPr>
      <w:color w:val="800080"/>
      <w:u w:val="single"/>
    </w:rPr>
  </w:style>
  <w:style w:type="character" w:styleId="CommentReference">
    <w:name w:val="annotation reference"/>
    <w:rsid w:val="00A510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106A"/>
  </w:style>
  <w:style w:type="paragraph" w:styleId="CommentSubject">
    <w:name w:val="annotation subject"/>
    <w:basedOn w:val="CommentText"/>
    <w:next w:val="CommentText"/>
    <w:link w:val="CommentSubjectChar"/>
    <w:rsid w:val="00A5106A"/>
    <w:rPr>
      <w:b/>
      <w:bCs/>
    </w:rPr>
  </w:style>
  <w:style w:type="character" w:customStyle="1" w:styleId="CommentSubjectChar">
    <w:name w:val="Comment Subject Char"/>
    <w:link w:val="CommentSubject"/>
    <w:rsid w:val="00A5106A"/>
    <w:rPr>
      <w:b/>
      <w:bCs/>
    </w:rPr>
  </w:style>
  <w:style w:type="paragraph" w:styleId="ListParagraph">
    <w:name w:val="List Paragraph"/>
    <w:basedOn w:val="Normal"/>
    <w:uiPriority w:val="34"/>
    <w:qFormat/>
    <w:rsid w:val="00FD63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37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37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amus.edu/34-02.pdf" TargetMode="External"/><Relationship Id="rId13" Type="http://schemas.openxmlformats.org/officeDocument/2006/relationships/hyperlink" Target="https://www.ecfr.gov/current/title-49/subtitle-B/chapter-III/subchapter-B/part-382/subpart-C/section-382.3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fsfinance.tamu.edu/modules/finance/admin/admin_procedures/6001%20Alcoholic%20Beverage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fsfinance.tamu.edu/modules/finance/admin/rules/340201F1%20Drug%20Alcohol%20Abuse%20Rehab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olicies.tamus.edu/34-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ies.tamus.edu/34-03.pdf" TargetMode="External"/><Relationship Id="rId14" Type="http://schemas.openxmlformats.org/officeDocument/2006/relationships/hyperlink" Target="mailto:tpecht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4698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Links>
    <vt:vector size="42" baseType="variant"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4522049</vt:i4>
      </vt:variant>
      <vt:variant>
        <vt:i4>15</vt:i4>
      </vt:variant>
      <vt:variant>
        <vt:i4>0</vt:i4>
      </vt:variant>
      <vt:variant>
        <vt:i4>5</vt:i4>
      </vt:variant>
      <vt:variant>
        <vt:lpwstr>http://tfsfinance.tamu.edu/modules/finance/admin/procedures/Background Check  Disclosure Notice And Authorization Form HR-12.doc</vt:lpwstr>
      </vt:variant>
      <vt:variant>
        <vt:lpwstr/>
      </vt:variant>
      <vt:variant>
        <vt:i4>393293</vt:i4>
      </vt:variant>
      <vt:variant>
        <vt:i4>12</vt:i4>
      </vt:variant>
      <vt:variant>
        <vt:i4>0</vt:i4>
      </vt:variant>
      <vt:variant>
        <vt:i4>5</vt:i4>
      </vt:variant>
      <vt:variant>
        <vt:lpwstr>http://tfsfinance.tamu.edu/modules/finance/admin/rules/339914F1 Criminal History Information.doc</vt:lpwstr>
      </vt:variant>
      <vt:variant>
        <vt:lpwstr/>
      </vt:variant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http://tamus.edu/offices/policy/policies/pdf/33-99-14.pdf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http://policies.tamus.edu/33-99-01.pdf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http://www.statutes.legis.state.tx.us/Docs/ED/htm/ED.51.htm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2023-04-10T13:03:00Z</dcterms:created>
  <dcterms:modified xsi:type="dcterms:W3CDTF">2023-04-10T13:03:00Z</dcterms:modified>
</cp:coreProperties>
</file>