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ACC21" w14:textId="77777777" w:rsidR="00946FD7" w:rsidRDefault="00D12C96" w:rsidP="00364A06">
      <w:pPr>
        <w:jc w:val="center"/>
      </w:pPr>
      <w:r>
        <w:rPr>
          <w:noProof/>
        </w:rPr>
        <w:drawing>
          <wp:inline distT="0" distB="0" distL="0" distR="0" wp14:anchorId="3F8872E3" wp14:editId="70AC4A40">
            <wp:extent cx="1828800" cy="411480"/>
            <wp:effectExtent l="0" t="0" r="0" b="7620"/>
            <wp:docPr id="4" name="Picture 4" descr="S:\Associate Director's Office\Administrative Procedures\Draft Admin Procedures\Admin Proc Tools\TFS Logo\TFS_RGB-maroon_gray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sociate Director's Office\Administrative Procedures\Draft Admin Procedures\Admin Proc Tools\TFS Logo\TFS_RGB-maroon_gray_typ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411480"/>
                    </a:xfrm>
                    <a:prstGeom prst="rect">
                      <a:avLst/>
                    </a:prstGeom>
                    <a:noFill/>
                    <a:ln>
                      <a:noFill/>
                    </a:ln>
                  </pic:spPr>
                </pic:pic>
              </a:graphicData>
            </a:graphic>
          </wp:inline>
        </w:drawing>
      </w:r>
    </w:p>
    <w:p w14:paraId="5215F490" w14:textId="77777777" w:rsidR="00364A06" w:rsidRDefault="00364A06" w:rsidP="00364A06">
      <w:pPr>
        <w:jc w:val="center"/>
      </w:pPr>
    </w:p>
    <w:p w14:paraId="2F542BB4" w14:textId="77777777" w:rsidR="00364A06" w:rsidRPr="00364A06" w:rsidRDefault="00364A06" w:rsidP="00364A06">
      <w:pPr>
        <w:jc w:val="center"/>
        <w:rPr>
          <w:b/>
        </w:rPr>
      </w:pPr>
      <w:r w:rsidRPr="00364A06">
        <w:rPr>
          <w:b/>
        </w:rPr>
        <w:t>ADMINISTRATIVE PROCEDURES</w:t>
      </w:r>
    </w:p>
    <w:p w14:paraId="4B1D67BD" w14:textId="77777777" w:rsidR="00364A06" w:rsidRDefault="00364A06" w:rsidP="00364A06">
      <w:pPr>
        <w:jc w:val="cente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803"/>
        <w:gridCol w:w="3787"/>
      </w:tblGrid>
      <w:tr w:rsidR="00364A06" w:rsidRPr="00364A06" w14:paraId="6BE3B25D" w14:textId="77777777" w:rsidTr="00A43C89">
        <w:tc>
          <w:tcPr>
            <w:tcW w:w="5803" w:type="dxa"/>
          </w:tcPr>
          <w:p w14:paraId="4221A536" w14:textId="77777777" w:rsidR="00364A06" w:rsidRPr="00364A06" w:rsidRDefault="00D302DA" w:rsidP="009C1C6E">
            <w:pPr>
              <w:ind w:left="624" w:hanging="624"/>
              <w:rPr>
                <w:b/>
              </w:rPr>
            </w:pPr>
            <w:r>
              <w:rPr>
                <w:b/>
              </w:rPr>
              <w:t>2</w:t>
            </w:r>
            <w:r w:rsidR="00364A06" w:rsidRPr="00364A06">
              <w:rPr>
                <w:b/>
              </w:rPr>
              <w:t>0.0</w:t>
            </w:r>
            <w:r>
              <w:rPr>
                <w:b/>
              </w:rPr>
              <w:t>3</w:t>
            </w:r>
            <w:r w:rsidR="00364A06" w:rsidRPr="00364A06">
              <w:rPr>
                <w:b/>
              </w:rPr>
              <w:t xml:space="preserve">  </w:t>
            </w:r>
            <w:r>
              <w:rPr>
                <w:b/>
              </w:rPr>
              <w:t>Travel</w:t>
            </w:r>
            <w:r w:rsidR="009C2F2E">
              <w:rPr>
                <w:b/>
              </w:rPr>
              <w:t xml:space="preserve"> </w:t>
            </w:r>
          </w:p>
        </w:tc>
        <w:tc>
          <w:tcPr>
            <w:tcW w:w="3787" w:type="dxa"/>
          </w:tcPr>
          <w:p w14:paraId="1FCBE382" w14:textId="03E9A63E" w:rsidR="00364A06" w:rsidRPr="00364A06" w:rsidRDefault="00364A06" w:rsidP="00127461">
            <w:pPr>
              <w:jc w:val="right"/>
              <w:rPr>
                <w:b/>
              </w:rPr>
            </w:pPr>
            <w:r w:rsidRPr="00364A06">
              <w:rPr>
                <w:b/>
              </w:rPr>
              <w:t xml:space="preserve">Revised:  </w:t>
            </w:r>
            <w:r w:rsidR="0095009A">
              <w:rPr>
                <w:b/>
              </w:rPr>
              <w:t>February 16</w:t>
            </w:r>
            <w:r w:rsidR="00D26B67">
              <w:rPr>
                <w:b/>
              </w:rPr>
              <w:t xml:space="preserve">, </w:t>
            </w:r>
            <w:r w:rsidR="0095009A">
              <w:rPr>
                <w:b/>
              </w:rPr>
              <w:t>2024</w:t>
            </w:r>
          </w:p>
        </w:tc>
      </w:tr>
    </w:tbl>
    <w:p w14:paraId="193E8636" w14:textId="77777777" w:rsidR="00364A06" w:rsidRDefault="00364A06" w:rsidP="00364A06">
      <w:pPr>
        <w:jc w:val="center"/>
      </w:pPr>
    </w:p>
    <w:p w14:paraId="0EAF72CD" w14:textId="77777777" w:rsidR="00D302DA" w:rsidRPr="00EB39DE" w:rsidRDefault="00D302DA" w:rsidP="00D302DA">
      <w:pPr>
        <w:numPr>
          <w:ilvl w:val="0"/>
          <w:numId w:val="1"/>
        </w:numPr>
        <w:tabs>
          <w:tab w:val="clear" w:pos="720"/>
        </w:tabs>
        <w:rPr>
          <w:u w:val="single"/>
        </w:rPr>
      </w:pPr>
      <w:r w:rsidRPr="00EB39DE">
        <w:rPr>
          <w:u w:val="single"/>
        </w:rPr>
        <w:t>G</w:t>
      </w:r>
      <w:r>
        <w:rPr>
          <w:u w:val="single"/>
        </w:rPr>
        <w:t>OVERNING</w:t>
      </w:r>
      <w:r w:rsidRPr="00EB39DE">
        <w:rPr>
          <w:u w:val="single"/>
        </w:rPr>
        <w:t xml:space="preserve"> R</w:t>
      </w:r>
      <w:r>
        <w:rPr>
          <w:u w:val="single"/>
        </w:rPr>
        <w:t>EGULATIONS</w:t>
      </w:r>
    </w:p>
    <w:p w14:paraId="7BD3EA40" w14:textId="77777777" w:rsidR="00D302DA" w:rsidRPr="00A662EC" w:rsidRDefault="00D302DA" w:rsidP="00D302DA"/>
    <w:p w14:paraId="0BCE99E8" w14:textId="7F79B68A" w:rsidR="00D302DA" w:rsidRPr="00A662EC" w:rsidRDefault="00D302DA" w:rsidP="00D302DA">
      <w:pPr>
        <w:ind w:left="720"/>
      </w:pPr>
      <w:r w:rsidRPr="00A662EC">
        <w:t xml:space="preserve">Travel is governed by </w:t>
      </w:r>
      <w:r w:rsidRPr="008B639F">
        <w:t xml:space="preserve">System Regulation </w:t>
      </w:r>
      <w:hyperlink r:id="rId8" w:history="1">
        <w:r>
          <w:rPr>
            <w:rStyle w:val="Hyperlink"/>
          </w:rPr>
          <w:t>21.01.03</w:t>
        </w:r>
      </w:hyperlink>
      <w:r>
        <w:t xml:space="preserve"> </w:t>
      </w:r>
      <w:r w:rsidRPr="000522A0">
        <w:rPr>
          <w:i/>
          <w:iCs/>
        </w:rPr>
        <w:t>Disbursement of Funds</w:t>
      </w:r>
      <w:r w:rsidRPr="00A662EC">
        <w:t xml:space="preserve">, the </w:t>
      </w:r>
      <w:hyperlink r:id="rId9" w:anchor="skip-scroll" w:history="1">
        <w:r w:rsidRPr="00E20DAC">
          <w:rPr>
            <w:rStyle w:val="Hyperlink"/>
          </w:rPr>
          <w:t>State Travel Management Program</w:t>
        </w:r>
      </w:hyperlink>
      <w:r w:rsidRPr="00A662EC">
        <w:t>, and the</w:t>
      </w:r>
      <w:r w:rsidR="007E4332">
        <w:t xml:space="preserve"> </w:t>
      </w:r>
      <w:hyperlink r:id="rId10" w:history="1">
        <w:r w:rsidR="007E4332" w:rsidRPr="007E4332">
          <w:rPr>
            <w:rStyle w:val="Hyperlink"/>
          </w:rPr>
          <w:t>Textravel</w:t>
        </w:r>
      </w:hyperlink>
      <w:r w:rsidR="007E4332">
        <w:t xml:space="preserve"> web pages</w:t>
      </w:r>
      <w:r w:rsidRPr="00A662EC">
        <w:t>.</w:t>
      </w:r>
    </w:p>
    <w:p w14:paraId="0FF3081D" w14:textId="77777777" w:rsidR="00D302DA" w:rsidRPr="00A662EC" w:rsidRDefault="00D302DA" w:rsidP="00D302DA"/>
    <w:p w14:paraId="60EFE858" w14:textId="7074C735" w:rsidR="00EA0D76" w:rsidRDefault="00894B1A" w:rsidP="00B960F4">
      <w:pPr>
        <w:numPr>
          <w:ilvl w:val="0"/>
          <w:numId w:val="1"/>
        </w:numPr>
        <w:tabs>
          <w:tab w:val="clear" w:pos="720"/>
        </w:tabs>
        <w:rPr>
          <w:u w:val="single"/>
        </w:rPr>
      </w:pPr>
      <w:r>
        <w:rPr>
          <w:u w:val="single"/>
        </w:rPr>
        <w:t>DEFINITIONS</w:t>
      </w:r>
    </w:p>
    <w:p w14:paraId="4B0B4200" w14:textId="77777777" w:rsidR="00EA0D76" w:rsidRDefault="00EA0D76" w:rsidP="006A1188">
      <w:pPr>
        <w:rPr>
          <w:u w:val="single"/>
        </w:rPr>
      </w:pPr>
    </w:p>
    <w:p w14:paraId="04DB69C1" w14:textId="53663C9F" w:rsidR="00EA0D76" w:rsidRPr="006A1188" w:rsidRDefault="00EA0D76" w:rsidP="00B960F4">
      <w:pPr>
        <w:numPr>
          <w:ilvl w:val="1"/>
          <w:numId w:val="1"/>
        </w:numPr>
      </w:pPr>
      <w:r w:rsidRPr="006A1188">
        <w:t>Overnight Travel</w:t>
      </w:r>
      <w:r w:rsidR="0097601F" w:rsidRPr="006A1188">
        <w:t xml:space="preserve"> – A state employee is entitled to be reimbursed for lodging, meal and incidental expense</w:t>
      </w:r>
      <w:r w:rsidR="0077051F">
        <w:t>s</w:t>
      </w:r>
      <w:r w:rsidR="0097601F" w:rsidRPr="006A1188">
        <w:t xml:space="preserve"> incurred while conducting </w:t>
      </w:r>
      <w:r w:rsidR="0061205F" w:rsidRPr="006A1188">
        <w:t>state</w:t>
      </w:r>
      <w:r w:rsidR="0097601F" w:rsidRPr="006A1188">
        <w:t xml:space="preserve"> business at a duty point outside of his or her designated headquarters.</w:t>
      </w:r>
    </w:p>
    <w:p w14:paraId="7C1EEAF0" w14:textId="77777777" w:rsidR="00917AE3" w:rsidRDefault="00917AE3" w:rsidP="006A1188">
      <w:pPr>
        <w:rPr>
          <w:u w:val="single"/>
        </w:rPr>
      </w:pPr>
    </w:p>
    <w:p w14:paraId="51E7B608" w14:textId="12D51794" w:rsidR="00EA0D76" w:rsidRPr="006A1188" w:rsidRDefault="00EA0D76" w:rsidP="00B960F4">
      <w:pPr>
        <w:numPr>
          <w:ilvl w:val="1"/>
          <w:numId w:val="1"/>
        </w:numPr>
      </w:pPr>
      <w:r w:rsidRPr="006A1188">
        <w:t>Designated Headquarters</w:t>
      </w:r>
      <w:r w:rsidR="0097601F" w:rsidRPr="006A1188">
        <w:t xml:space="preserve"> – The area within the boundaries of the city in which a state employee’s place of employment is located.</w:t>
      </w:r>
    </w:p>
    <w:p w14:paraId="13F64F5A" w14:textId="77777777" w:rsidR="00917AE3" w:rsidRDefault="00917AE3" w:rsidP="006A1188">
      <w:pPr>
        <w:rPr>
          <w:u w:val="single"/>
        </w:rPr>
      </w:pPr>
    </w:p>
    <w:p w14:paraId="1FC1D212" w14:textId="43486BCA" w:rsidR="0097601F" w:rsidRPr="006A1188" w:rsidRDefault="0097601F" w:rsidP="00B960F4">
      <w:pPr>
        <w:numPr>
          <w:ilvl w:val="1"/>
          <w:numId w:val="1"/>
        </w:numPr>
      </w:pPr>
      <w:r w:rsidRPr="006A1188">
        <w:t>Place of Employment – The office or other location at which a state</w:t>
      </w:r>
      <w:r w:rsidR="0061205F" w:rsidRPr="006A1188">
        <w:t xml:space="preserve"> </w:t>
      </w:r>
      <w:r w:rsidRPr="006A1188">
        <w:t xml:space="preserve">employee most frequently conducts official state </w:t>
      </w:r>
      <w:r w:rsidR="0061205F" w:rsidRPr="006A1188">
        <w:t>business</w:t>
      </w:r>
      <w:r w:rsidRPr="006A1188">
        <w:t>.</w:t>
      </w:r>
    </w:p>
    <w:p w14:paraId="482E54EB" w14:textId="77777777" w:rsidR="00917AE3" w:rsidRDefault="00917AE3" w:rsidP="006A1188">
      <w:pPr>
        <w:rPr>
          <w:u w:val="single"/>
        </w:rPr>
      </w:pPr>
    </w:p>
    <w:p w14:paraId="48CE95E6" w14:textId="1173E948" w:rsidR="00EA0D76" w:rsidRPr="006A1188" w:rsidRDefault="00EA0D76" w:rsidP="00B960F4">
      <w:pPr>
        <w:numPr>
          <w:ilvl w:val="1"/>
          <w:numId w:val="1"/>
        </w:numPr>
      </w:pPr>
      <w:r w:rsidRPr="006A1188">
        <w:t>Duty Point</w:t>
      </w:r>
      <w:r w:rsidR="0097601F" w:rsidRPr="006A1188">
        <w:t xml:space="preserve"> – The destination, other than a place of employment, to which a st</w:t>
      </w:r>
      <w:r w:rsidR="00925844" w:rsidRPr="006A1188">
        <w:t>a</w:t>
      </w:r>
      <w:r w:rsidR="0097601F" w:rsidRPr="006A1188">
        <w:t>te employee travels to conduct official state business.</w:t>
      </w:r>
    </w:p>
    <w:p w14:paraId="25C19FE6" w14:textId="77777777" w:rsidR="0097601F" w:rsidRPr="00B960F4" w:rsidRDefault="0097601F" w:rsidP="006A1188">
      <w:pPr>
        <w:rPr>
          <w:u w:val="single"/>
        </w:rPr>
      </w:pPr>
    </w:p>
    <w:p w14:paraId="798B082A" w14:textId="5282FD87" w:rsidR="00D302DA" w:rsidRPr="00EB39DE" w:rsidRDefault="00D302DA" w:rsidP="00D302DA">
      <w:pPr>
        <w:numPr>
          <w:ilvl w:val="0"/>
          <w:numId w:val="1"/>
        </w:numPr>
        <w:tabs>
          <w:tab w:val="clear" w:pos="720"/>
        </w:tabs>
        <w:rPr>
          <w:u w:val="single"/>
        </w:rPr>
      </w:pPr>
      <w:r w:rsidRPr="00EB39DE">
        <w:rPr>
          <w:u w:val="single"/>
        </w:rPr>
        <w:t>T</w:t>
      </w:r>
      <w:r>
        <w:rPr>
          <w:u w:val="single"/>
        </w:rPr>
        <w:t>RAVEL</w:t>
      </w:r>
      <w:r w:rsidRPr="00EB39DE">
        <w:rPr>
          <w:u w:val="single"/>
        </w:rPr>
        <w:t xml:space="preserve"> A</w:t>
      </w:r>
      <w:r>
        <w:rPr>
          <w:u w:val="single"/>
        </w:rPr>
        <w:t>UTHORIZATION</w:t>
      </w:r>
      <w:r w:rsidRPr="00EB39DE">
        <w:rPr>
          <w:u w:val="single"/>
        </w:rPr>
        <w:t xml:space="preserve"> A</w:t>
      </w:r>
      <w:r>
        <w:rPr>
          <w:u w:val="single"/>
        </w:rPr>
        <w:t>PPROVALS</w:t>
      </w:r>
    </w:p>
    <w:p w14:paraId="65C525F9" w14:textId="77777777" w:rsidR="00D302DA" w:rsidRPr="00A662EC" w:rsidRDefault="00D302DA" w:rsidP="00D302DA"/>
    <w:p w14:paraId="574E9EE4" w14:textId="77777777" w:rsidR="00D302DA" w:rsidRPr="00A662EC" w:rsidRDefault="00D302DA" w:rsidP="00D302DA">
      <w:pPr>
        <w:ind w:left="720"/>
      </w:pPr>
      <w:r w:rsidRPr="00A662EC">
        <w:t>Authorization for all travel must be approved as follows.</w:t>
      </w:r>
    </w:p>
    <w:p w14:paraId="7E327E12" w14:textId="77777777" w:rsidR="00D302DA" w:rsidRPr="00A662EC" w:rsidRDefault="00D302DA" w:rsidP="00D302DA">
      <w:pPr>
        <w:ind w:left="720"/>
      </w:pPr>
    </w:p>
    <w:p w14:paraId="721B724B" w14:textId="77777777" w:rsidR="00D302DA" w:rsidRPr="00A662EC" w:rsidRDefault="00D302DA" w:rsidP="00D302DA">
      <w:pPr>
        <w:pStyle w:val="BodyTextIndent"/>
        <w:numPr>
          <w:ilvl w:val="1"/>
          <w:numId w:val="1"/>
        </w:numPr>
        <w:tabs>
          <w:tab w:val="clear" w:pos="720"/>
          <w:tab w:val="clear" w:pos="1440"/>
        </w:tabs>
        <w:rPr>
          <w:rFonts w:ascii="Times New Roman" w:hAnsi="Times New Roman"/>
        </w:rPr>
      </w:pPr>
      <w:r w:rsidRPr="00A662EC">
        <w:rPr>
          <w:rFonts w:ascii="Times New Roman" w:hAnsi="Times New Roman"/>
        </w:rPr>
        <w:t>Routine Travel Authorization</w:t>
      </w:r>
    </w:p>
    <w:p w14:paraId="21FCADE5" w14:textId="77777777" w:rsidR="00D302DA" w:rsidRPr="00A662EC" w:rsidRDefault="00D302DA" w:rsidP="00D302DA">
      <w:pPr>
        <w:pStyle w:val="BodyTextIndent"/>
        <w:tabs>
          <w:tab w:val="clear" w:pos="720"/>
        </w:tabs>
        <w:ind w:left="720" w:firstLine="0"/>
        <w:rPr>
          <w:rFonts w:ascii="Times New Roman" w:hAnsi="Times New Roman"/>
        </w:rPr>
      </w:pPr>
    </w:p>
    <w:p w14:paraId="75A7ED66" w14:textId="21684DB6" w:rsidR="00CA37F8" w:rsidRDefault="00632FA6" w:rsidP="00D302DA">
      <w:pPr>
        <w:pStyle w:val="BodyTextIndent"/>
        <w:tabs>
          <w:tab w:val="clear" w:pos="720"/>
        </w:tabs>
        <w:ind w:firstLine="0"/>
        <w:rPr>
          <w:rFonts w:ascii="Times New Roman" w:hAnsi="Times New Roman"/>
        </w:rPr>
      </w:pPr>
      <w:r>
        <w:rPr>
          <w:rFonts w:ascii="Times New Roman" w:hAnsi="Times New Roman"/>
        </w:rPr>
        <w:t>The Director has approved all request</w:t>
      </w:r>
      <w:r w:rsidR="0077051F">
        <w:rPr>
          <w:rFonts w:ascii="Times New Roman" w:hAnsi="Times New Roman"/>
        </w:rPr>
        <w:t>s</w:t>
      </w:r>
      <w:r>
        <w:rPr>
          <w:rFonts w:ascii="Times New Roman" w:hAnsi="Times New Roman"/>
        </w:rPr>
        <w:t xml:space="preserve"> for routine travel (within budget limitations) for all current employees of the agency.  </w:t>
      </w:r>
      <w:r w:rsidR="00D302DA" w:rsidRPr="00A662EC">
        <w:rPr>
          <w:rFonts w:ascii="Times New Roman" w:hAnsi="Times New Roman"/>
        </w:rPr>
        <w:t xml:space="preserve">Routine travel </w:t>
      </w:r>
      <w:r>
        <w:rPr>
          <w:rFonts w:ascii="Times New Roman" w:hAnsi="Times New Roman"/>
        </w:rPr>
        <w:t>is</w:t>
      </w:r>
      <w:r w:rsidR="00434A55">
        <w:rPr>
          <w:rFonts w:ascii="Times New Roman" w:hAnsi="Times New Roman"/>
        </w:rPr>
        <w:t xml:space="preserve"> </w:t>
      </w:r>
      <w:r w:rsidR="00D302DA" w:rsidRPr="00A662EC">
        <w:rPr>
          <w:rFonts w:ascii="Times New Roman" w:hAnsi="Times New Roman"/>
        </w:rPr>
        <w:t xml:space="preserve">required for employees to perform their assigned duties </w:t>
      </w:r>
      <w:r w:rsidR="00434A55">
        <w:rPr>
          <w:rFonts w:ascii="Times New Roman" w:hAnsi="Times New Roman"/>
        </w:rPr>
        <w:t>and</w:t>
      </w:r>
      <w:r w:rsidR="00D302DA" w:rsidRPr="00A662EC">
        <w:rPr>
          <w:rFonts w:ascii="Times New Roman" w:hAnsi="Times New Roman"/>
        </w:rPr>
        <w:t xml:space="preserve"> is defined to include:</w:t>
      </w:r>
    </w:p>
    <w:p w14:paraId="464B5FA2" w14:textId="77777777" w:rsidR="00CA37F8" w:rsidRDefault="00CA37F8" w:rsidP="00D302DA">
      <w:pPr>
        <w:pStyle w:val="BodyTextIndent"/>
        <w:tabs>
          <w:tab w:val="clear" w:pos="720"/>
        </w:tabs>
        <w:ind w:firstLine="0"/>
        <w:rPr>
          <w:rFonts w:ascii="Times New Roman" w:hAnsi="Times New Roman"/>
        </w:rPr>
      </w:pPr>
    </w:p>
    <w:p w14:paraId="54A0B42D" w14:textId="35F3C635" w:rsidR="00CA37F8" w:rsidRDefault="00D302DA" w:rsidP="00CA37F8">
      <w:pPr>
        <w:pStyle w:val="BodyTextIndent"/>
        <w:tabs>
          <w:tab w:val="clear" w:pos="720"/>
        </w:tabs>
        <w:ind w:left="2160" w:hanging="720"/>
        <w:rPr>
          <w:rFonts w:ascii="Times New Roman" w:hAnsi="Times New Roman"/>
        </w:rPr>
      </w:pPr>
      <w:r w:rsidRPr="00A662EC">
        <w:rPr>
          <w:rFonts w:ascii="Times New Roman" w:hAnsi="Times New Roman"/>
        </w:rPr>
        <w:t>a</w:t>
      </w:r>
      <w:r w:rsidR="00CA37F8">
        <w:rPr>
          <w:rFonts w:ascii="Times New Roman" w:hAnsi="Times New Roman"/>
        </w:rPr>
        <w:t>.</w:t>
      </w:r>
      <w:r w:rsidR="00CA37F8">
        <w:rPr>
          <w:rFonts w:ascii="Times New Roman" w:hAnsi="Times New Roman"/>
        </w:rPr>
        <w:tab/>
      </w:r>
      <w:r w:rsidRPr="00A662EC">
        <w:rPr>
          <w:rFonts w:ascii="Times New Roman" w:hAnsi="Times New Roman"/>
        </w:rPr>
        <w:t xml:space="preserve">all in-state travel in a </w:t>
      </w:r>
      <w:r w:rsidR="00E357D2">
        <w:rPr>
          <w:rFonts w:ascii="Times New Roman" w:hAnsi="Times New Roman"/>
        </w:rPr>
        <w:t xml:space="preserve">Texas A&amp;M Forest Service </w:t>
      </w:r>
      <w:r w:rsidRPr="00A662EC">
        <w:rPr>
          <w:rFonts w:ascii="Times New Roman" w:hAnsi="Times New Roman"/>
        </w:rPr>
        <w:t>vehicle</w:t>
      </w:r>
      <w:r w:rsidR="007D6968">
        <w:rPr>
          <w:rFonts w:ascii="Times New Roman" w:hAnsi="Times New Roman"/>
        </w:rPr>
        <w:t>.</w:t>
      </w:r>
    </w:p>
    <w:p w14:paraId="342CF286" w14:textId="77777777" w:rsidR="00347C5B" w:rsidRDefault="00347C5B" w:rsidP="00CA37F8">
      <w:pPr>
        <w:pStyle w:val="BodyTextIndent"/>
        <w:tabs>
          <w:tab w:val="clear" w:pos="720"/>
        </w:tabs>
        <w:ind w:left="2160" w:hanging="720"/>
        <w:rPr>
          <w:rFonts w:ascii="Times New Roman" w:hAnsi="Times New Roman"/>
        </w:rPr>
      </w:pPr>
    </w:p>
    <w:p w14:paraId="3B60BFCB" w14:textId="3979F8D0" w:rsidR="00CA37F8" w:rsidRDefault="00D302DA" w:rsidP="00CA37F8">
      <w:pPr>
        <w:pStyle w:val="BodyTextIndent"/>
        <w:tabs>
          <w:tab w:val="clear" w:pos="720"/>
        </w:tabs>
        <w:ind w:left="2160" w:hanging="720"/>
        <w:rPr>
          <w:rFonts w:ascii="Times New Roman" w:hAnsi="Times New Roman"/>
        </w:rPr>
      </w:pPr>
      <w:r w:rsidRPr="00A662EC">
        <w:rPr>
          <w:rFonts w:ascii="Times New Roman" w:hAnsi="Times New Roman"/>
        </w:rPr>
        <w:t>b</w:t>
      </w:r>
      <w:r w:rsidR="00CA37F8">
        <w:rPr>
          <w:rFonts w:ascii="Times New Roman" w:hAnsi="Times New Roman"/>
        </w:rPr>
        <w:t>.</w:t>
      </w:r>
      <w:r w:rsidR="00CA37F8">
        <w:rPr>
          <w:rFonts w:ascii="Times New Roman" w:hAnsi="Times New Roman"/>
        </w:rPr>
        <w:tab/>
      </w:r>
      <w:r w:rsidRPr="00A662EC">
        <w:rPr>
          <w:rFonts w:ascii="Times New Roman" w:hAnsi="Times New Roman"/>
        </w:rPr>
        <w:t xml:space="preserve">all out-of-state travel for emergency response activities (see </w:t>
      </w:r>
      <w:r>
        <w:rPr>
          <w:rFonts w:ascii="Times New Roman" w:hAnsi="Times New Roman"/>
        </w:rPr>
        <w:t>s</w:t>
      </w:r>
      <w:r w:rsidRPr="00A662EC">
        <w:rPr>
          <w:rFonts w:ascii="Times New Roman" w:hAnsi="Times New Roman"/>
        </w:rPr>
        <w:t>ec</w:t>
      </w:r>
      <w:r>
        <w:rPr>
          <w:rFonts w:ascii="Times New Roman" w:hAnsi="Times New Roman"/>
        </w:rPr>
        <w:t>tion</w:t>
      </w:r>
      <w:r w:rsidRPr="00A662EC">
        <w:rPr>
          <w:rFonts w:ascii="Times New Roman" w:hAnsi="Times New Roman"/>
        </w:rPr>
        <w:t xml:space="preserve"> </w:t>
      </w:r>
      <w:r w:rsidR="007E0C5C">
        <w:rPr>
          <w:rFonts w:ascii="Times New Roman" w:hAnsi="Times New Roman"/>
        </w:rPr>
        <w:t>3</w:t>
      </w:r>
      <w:r w:rsidRPr="00A662EC">
        <w:rPr>
          <w:rFonts w:ascii="Times New Roman" w:hAnsi="Times New Roman"/>
        </w:rPr>
        <w:t>.</w:t>
      </w:r>
      <w:r>
        <w:rPr>
          <w:rFonts w:ascii="Times New Roman" w:hAnsi="Times New Roman"/>
        </w:rPr>
        <w:t>6</w:t>
      </w:r>
      <w:r w:rsidRPr="00A662EC">
        <w:rPr>
          <w:rFonts w:ascii="Times New Roman" w:hAnsi="Times New Roman"/>
        </w:rPr>
        <w:t xml:space="preserve"> for special requirements)</w:t>
      </w:r>
      <w:r w:rsidR="007D6968">
        <w:rPr>
          <w:rFonts w:ascii="Times New Roman" w:hAnsi="Times New Roman"/>
        </w:rPr>
        <w:t>.</w:t>
      </w:r>
    </w:p>
    <w:p w14:paraId="09AAA2AB" w14:textId="77777777" w:rsidR="00347C5B" w:rsidRDefault="00347C5B" w:rsidP="00CA37F8">
      <w:pPr>
        <w:pStyle w:val="BodyTextIndent"/>
        <w:tabs>
          <w:tab w:val="clear" w:pos="720"/>
        </w:tabs>
        <w:ind w:left="2160" w:hanging="720"/>
        <w:rPr>
          <w:rFonts w:ascii="Times New Roman" w:hAnsi="Times New Roman"/>
        </w:rPr>
      </w:pPr>
    </w:p>
    <w:p w14:paraId="722F3E61" w14:textId="174B1829" w:rsidR="00CA37F8" w:rsidRDefault="00D302DA" w:rsidP="00CA37F8">
      <w:pPr>
        <w:pStyle w:val="BodyTextIndent"/>
        <w:tabs>
          <w:tab w:val="clear" w:pos="720"/>
        </w:tabs>
        <w:ind w:left="2160" w:hanging="720"/>
        <w:rPr>
          <w:rFonts w:ascii="Times New Roman" w:hAnsi="Times New Roman"/>
        </w:rPr>
      </w:pPr>
      <w:r>
        <w:rPr>
          <w:rFonts w:ascii="Times New Roman" w:hAnsi="Times New Roman"/>
        </w:rPr>
        <w:t>c</w:t>
      </w:r>
      <w:r w:rsidR="00CA37F8">
        <w:rPr>
          <w:rFonts w:ascii="Times New Roman" w:hAnsi="Times New Roman"/>
        </w:rPr>
        <w:t>.</w:t>
      </w:r>
      <w:r w:rsidR="00CA37F8">
        <w:rPr>
          <w:rFonts w:ascii="Times New Roman" w:hAnsi="Times New Roman"/>
        </w:rPr>
        <w:tab/>
      </w:r>
      <w:r>
        <w:rPr>
          <w:rFonts w:ascii="Times New Roman" w:hAnsi="Times New Roman"/>
        </w:rPr>
        <w:t>non-overnight travel to Arkansas</w:t>
      </w:r>
      <w:r w:rsidR="00C55F17">
        <w:rPr>
          <w:rFonts w:ascii="Times New Roman" w:hAnsi="Times New Roman"/>
        </w:rPr>
        <w:t>, Louisiana</w:t>
      </w:r>
      <w:r>
        <w:rPr>
          <w:rFonts w:ascii="Times New Roman" w:hAnsi="Times New Roman"/>
        </w:rPr>
        <w:t xml:space="preserve">, </w:t>
      </w:r>
      <w:r w:rsidR="00CA37F8">
        <w:rPr>
          <w:rFonts w:ascii="Times New Roman" w:hAnsi="Times New Roman"/>
        </w:rPr>
        <w:t>New Mexico and Oklahoma</w:t>
      </w:r>
      <w:r w:rsidR="007D6968">
        <w:rPr>
          <w:rFonts w:ascii="Times New Roman" w:hAnsi="Times New Roman"/>
        </w:rPr>
        <w:t>.</w:t>
      </w:r>
    </w:p>
    <w:p w14:paraId="1978FB4A" w14:textId="77777777" w:rsidR="00347C5B" w:rsidRDefault="00347C5B" w:rsidP="00CA37F8">
      <w:pPr>
        <w:pStyle w:val="BodyTextIndent"/>
        <w:tabs>
          <w:tab w:val="clear" w:pos="720"/>
        </w:tabs>
        <w:ind w:left="2160" w:hanging="720"/>
        <w:rPr>
          <w:rFonts w:ascii="Times New Roman" w:hAnsi="Times New Roman"/>
        </w:rPr>
      </w:pPr>
    </w:p>
    <w:p w14:paraId="514CF6A9" w14:textId="601BB966" w:rsidR="00CA37F8" w:rsidRDefault="00D302DA" w:rsidP="00CA37F8">
      <w:pPr>
        <w:pStyle w:val="BodyTextIndent"/>
        <w:tabs>
          <w:tab w:val="clear" w:pos="720"/>
        </w:tabs>
        <w:ind w:left="2160" w:hanging="720"/>
        <w:rPr>
          <w:rFonts w:ascii="Times New Roman" w:hAnsi="Times New Roman"/>
        </w:rPr>
      </w:pPr>
      <w:r>
        <w:rPr>
          <w:rFonts w:ascii="Times New Roman" w:hAnsi="Times New Roman"/>
        </w:rPr>
        <w:t>d</w:t>
      </w:r>
      <w:r w:rsidR="00CA37F8">
        <w:rPr>
          <w:rFonts w:ascii="Times New Roman" w:hAnsi="Times New Roman"/>
        </w:rPr>
        <w:t>.</w:t>
      </w:r>
      <w:r w:rsidR="00CA37F8">
        <w:rPr>
          <w:rFonts w:ascii="Times New Roman" w:hAnsi="Times New Roman"/>
        </w:rPr>
        <w:tab/>
      </w:r>
      <w:r>
        <w:rPr>
          <w:rFonts w:ascii="Times New Roman" w:hAnsi="Times New Roman"/>
        </w:rPr>
        <w:t xml:space="preserve">out-of-state travel </w:t>
      </w:r>
      <w:r w:rsidR="00996CEA">
        <w:rPr>
          <w:rFonts w:ascii="Times New Roman" w:hAnsi="Times New Roman"/>
        </w:rPr>
        <w:t>by Coop employees</w:t>
      </w:r>
      <w:r>
        <w:rPr>
          <w:rFonts w:ascii="Times New Roman" w:hAnsi="Times New Roman"/>
        </w:rPr>
        <w:t xml:space="preserve"> to perform duties for the Coop or for </w:t>
      </w:r>
      <w:r w:rsidR="00544529">
        <w:rPr>
          <w:rFonts w:ascii="Times New Roman" w:hAnsi="Times New Roman"/>
        </w:rPr>
        <w:t xml:space="preserve">Texas A&amp;M Forest Service </w:t>
      </w:r>
      <w:r>
        <w:rPr>
          <w:rFonts w:ascii="Times New Roman" w:hAnsi="Times New Roman"/>
        </w:rPr>
        <w:t>as a member of the Coop</w:t>
      </w:r>
      <w:r w:rsidRPr="00A662EC">
        <w:rPr>
          <w:rFonts w:ascii="Times New Roman" w:hAnsi="Times New Roman"/>
        </w:rPr>
        <w:t>.</w:t>
      </w:r>
    </w:p>
    <w:p w14:paraId="109F94C1" w14:textId="77777777" w:rsidR="003075F9" w:rsidRDefault="003075F9" w:rsidP="003075F9">
      <w:pPr>
        <w:pStyle w:val="BodyTextIndent"/>
        <w:tabs>
          <w:tab w:val="clear" w:pos="720"/>
        </w:tabs>
        <w:ind w:left="2160" w:hanging="720"/>
        <w:rPr>
          <w:rFonts w:ascii="Times New Roman" w:hAnsi="Times New Roman"/>
        </w:rPr>
      </w:pPr>
    </w:p>
    <w:p w14:paraId="551A5E0B" w14:textId="15E0DCF6" w:rsidR="003075F9" w:rsidRDefault="003075F9" w:rsidP="003075F9">
      <w:pPr>
        <w:pStyle w:val="BodyTextIndent"/>
        <w:tabs>
          <w:tab w:val="clear" w:pos="720"/>
        </w:tabs>
        <w:ind w:left="2160" w:hanging="720"/>
        <w:rPr>
          <w:rFonts w:ascii="Times New Roman" w:hAnsi="Times New Roman"/>
        </w:rPr>
      </w:pPr>
      <w:r>
        <w:rPr>
          <w:rFonts w:ascii="Times New Roman" w:hAnsi="Times New Roman"/>
        </w:rPr>
        <w:lastRenderedPageBreak/>
        <w:t>e.</w:t>
      </w:r>
      <w:r>
        <w:rPr>
          <w:rFonts w:ascii="Times New Roman" w:hAnsi="Times New Roman"/>
        </w:rPr>
        <w:tab/>
      </w:r>
      <w:r w:rsidR="00205DFC">
        <w:rPr>
          <w:rFonts w:ascii="Times New Roman" w:hAnsi="Times New Roman"/>
        </w:rPr>
        <w:t xml:space="preserve">overnight </w:t>
      </w:r>
      <w:r>
        <w:rPr>
          <w:rFonts w:ascii="Times New Roman" w:hAnsi="Times New Roman"/>
        </w:rPr>
        <w:t xml:space="preserve">travel to </w:t>
      </w:r>
      <w:r w:rsidR="00C05FFB">
        <w:rPr>
          <w:rFonts w:ascii="Times New Roman" w:hAnsi="Times New Roman"/>
        </w:rPr>
        <w:t xml:space="preserve">Alabama, Arizona, </w:t>
      </w:r>
      <w:r>
        <w:rPr>
          <w:rFonts w:ascii="Times New Roman" w:hAnsi="Times New Roman"/>
        </w:rPr>
        <w:t xml:space="preserve">Arkansas, </w:t>
      </w:r>
      <w:r w:rsidR="00C05FFB">
        <w:rPr>
          <w:rFonts w:ascii="Times New Roman" w:hAnsi="Times New Roman"/>
        </w:rPr>
        <w:t xml:space="preserve">Colorado, </w:t>
      </w:r>
      <w:r w:rsidR="00375AE6">
        <w:rPr>
          <w:rFonts w:ascii="Times New Roman" w:hAnsi="Times New Roman"/>
        </w:rPr>
        <w:t xml:space="preserve">Florida, Georgia, Kansas, Kentucky, </w:t>
      </w:r>
      <w:r>
        <w:rPr>
          <w:rFonts w:ascii="Times New Roman" w:hAnsi="Times New Roman"/>
        </w:rPr>
        <w:t xml:space="preserve">Louisiana, </w:t>
      </w:r>
      <w:r w:rsidR="00375AE6">
        <w:rPr>
          <w:rFonts w:ascii="Times New Roman" w:hAnsi="Times New Roman"/>
        </w:rPr>
        <w:t xml:space="preserve">Mississippi, </w:t>
      </w:r>
      <w:r>
        <w:rPr>
          <w:rFonts w:ascii="Times New Roman" w:hAnsi="Times New Roman"/>
        </w:rPr>
        <w:t>New Mexico</w:t>
      </w:r>
      <w:r w:rsidR="00C05FFB">
        <w:rPr>
          <w:rFonts w:ascii="Times New Roman" w:hAnsi="Times New Roman"/>
        </w:rPr>
        <w:t xml:space="preserve">, </w:t>
      </w:r>
      <w:r>
        <w:rPr>
          <w:rFonts w:ascii="Times New Roman" w:hAnsi="Times New Roman"/>
        </w:rPr>
        <w:t>Oklahoma</w:t>
      </w:r>
      <w:r w:rsidR="00C05FFB">
        <w:rPr>
          <w:rFonts w:ascii="Times New Roman" w:hAnsi="Times New Roman"/>
        </w:rPr>
        <w:t xml:space="preserve"> and Tennessee</w:t>
      </w:r>
      <w:r>
        <w:rPr>
          <w:rFonts w:ascii="Times New Roman" w:hAnsi="Times New Roman"/>
        </w:rPr>
        <w:t xml:space="preserve"> for FEPP and FFP equipment</w:t>
      </w:r>
      <w:r w:rsidRPr="00A662EC">
        <w:rPr>
          <w:rFonts w:ascii="Times New Roman" w:hAnsi="Times New Roman"/>
        </w:rPr>
        <w:t>.</w:t>
      </w:r>
    </w:p>
    <w:p w14:paraId="52E4F69E" w14:textId="77777777" w:rsidR="00D302DA" w:rsidRPr="00A662EC" w:rsidRDefault="00D302DA" w:rsidP="00D302DA">
      <w:pPr>
        <w:pStyle w:val="BodyTextIndent"/>
        <w:tabs>
          <w:tab w:val="clear" w:pos="720"/>
        </w:tabs>
        <w:ind w:firstLine="0"/>
        <w:rPr>
          <w:rFonts w:ascii="Times New Roman" w:hAnsi="Times New Roman"/>
        </w:rPr>
      </w:pPr>
    </w:p>
    <w:p w14:paraId="34D5FC8B" w14:textId="77777777" w:rsidR="00D302DA" w:rsidRPr="00A662EC" w:rsidRDefault="00D302DA" w:rsidP="00D302DA">
      <w:pPr>
        <w:pStyle w:val="BodyTextIndent"/>
        <w:numPr>
          <w:ilvl w:val="1"/>
          <w:numId w:val="1"/>
        </w:numPr>
        <w:tabs>
          <w:tab w:val="clear" w:pos="720"/>
        </w:tabs>
        <w:rPr>
          <w:rFonts w:ascii="Times New Roman" w:hAnsi="Times New Roman"/>
        </w:rPr>
      </w:pPr>
      <w:r w:rsidRPr="00A662EC">
        <w:rPr>
          <w:rFonts w:ascii="Times New Roman" w:hAnsi="Times New Roman"/>
        </w:rPr>
        <w:t>Non-Routine Travel Authorization</w:t>
      </w:r>
    </w:p>
    <w:p w14:paraId="10461E9D" w14:textId="77777777" w:rsidR="00D302DA" w:rsidRPr="00A662EC" w:rsidRDefault="00D302DA" w:rsidP="00D302DA">
      <w:pPr>
        <w:pStyle w:val="BodyTextIndent"/>
        <w:tabs>
          <w:tab w:val="clear" w:pos="720"/>
        </w:tabs>
        <w:ind w:left="720" w:firstLine="0"/>
        <w:rPr>
          <w:rFonts w:ascii="Times New Roman" w:hAnsi="Times New Roman"/>
        </w:rPr>
      </w:pPr>
    </w:p>
    <w:p w14:paraId="6D1136C3" w14:textId="2CE30C7E" w:rsidR="00CA37F8" w:rsidRDefault="00D302DA" w:rsidP="00D302DA">
      <w:pPr>
        <w:pStyle w:val="BodyTextIndent"/>
        <w:tabs>
          <w:tab w:val="clear" w:pos="720"/>
        </w:tabs>
        <w:ind w:firstLine="0"/>
        <w:rPr>
          <w:rFonts w:ascii="Times New Roman" w:hAnsi="Times New Roman"/>
        </w:rPr>
      </w:pPr>
      <w:r w:rsidRPr="00A662EC">
        <w:rPr>
          <w:rFonts w:ascii="Times New Roman" w:hAnsi="Times New Roman"/>
        </w:rPr>
        <w:t>Non-</w:t>
      </w:r>
      <w:r>
        <w:rPr>
          <w:rFonts w:ascii="Times New Roman" w:hAnsi="Times New Roman"/>
        </w:rPr>
        <w:t>r</w:t>
      </w:r>
      <w:r w:rsidRPr="00A662EC">
        <w:rPr>
          <w:rFonts w:ascii="Times New Roman" w:hAnsi="Times New Roman"/>
        </w:rPr>
        <w:t xml:space="preserve">outine </w:t>
      </w:r>
      <w:r>
        <w:rPr>
          <w:rFonts w:ascii="Times New Roman" w:hAnsi="Times New Roman"/>
        </w:rPr>
        <w:t>t</w:t>
      </w:r>
      <w:r w:rsidRPr="00A662EC">
        <w:rPr>
          <w:rFonts w:ascii="Times New Roman" w:hAnsi="Times New Roman"/>
        </w:rPr>
        <w:t xml:space="preserve">ravel for employees must be approved with a </w:t>
      </w:r>
      <w:hyperlink r:id="rId11" w:history="1">
        <w:r w:rsidRPr="00A04F33">
          <w:rPr>
            <w:rStyle w:val="Hyperlink"/>
            <w:rFonts w:ascii="Times New Roman" w:hAnsi="Times New Roman"/>
          </w:rPr>
          <w:t>Travel Authorization</w:t>
        </w:r>
      </w:hyperlink>
      <w:r w:rsidRPr="00A662EC">
        <w:rPr>
          <w:rFonts w:ascii="Times New Roman" w:hAnsi="Times New Roman"/>
        </w:rPr>
        <w:t xml:space="preserve"> form for each trip.  Non-routine travel is defined to include:</w:t>
      </w:r>
    </w:p>
    <w:p w14:paraId="486ECCDA" w14:textId="77777777" w:rsidR="00CA37F8" w:rsidRDefault="00CA37F8" w:rsidP="00D302DA">
      <w:pPr>
        <w:pStyle w:val="BodyTextIndent"/>
        <w:tabs>
          <w:tab w:val="clear" w:pos="720"/>
        </w:tabs>
        <w:ind w:firstLine="0"/>
        <w:rPr>
          <w:rFonts w:ascii="Times New Roman" w:hAnsi="Times New Roman"/>
        </w:rPr>
      </w:pPr>
    </w:p>
    <w:p w14:paraId="5DB5A454" w14:textId="1942E264" w:rsidR="00CA37F8" w:rsidRDefault="00D302DA" w:rsidP="00CA37F8">
      <w:pPr>
        <w:pStyle w:val="BodyTextIndent"/>
        <w:tabs>
          <w:tab w:val="clear" w:pos="720"/>
        </w:tabs>
        <w:ind w:left="2160" w:hanging="720"/>
        <w:rPr>
          <w:rFonts w:ascii="Times New Roman" w:hAnsi="Times New Roman"/>
        </w:rPr>
      </w:pPr>
      <w:r w:rsidRPr="00A662EC">
        <w:rPr>
          <w:rFonts w:ascii="Times New Roman" w:hAnsi="Times New Roman"/>
        </w:rPr>
        <w:t>a</w:t>
      </w:r>
      <w:r w:rsidR="00CA37F8">
        <w:rPr>
          <w:rFonts w:ascii="Times New Roman" w:hAnsi="Times New Roman"/>
        </w:rPr>
        <w:t>.</w:t>
      </w:r>
      <w:r w:rsidR="00CA37F8">
        <w:rPr>
          <w:rFonts w:ascii="Times New Roman" w:hAnsi="Times New Roman"/>
        </w:rPr>
        <w:tab/>
      </w:r>
      <w:r w:rsidRPr="00A662EC">
        <w:rPr>
          <w:rFonts w:ascii="Times New Roman" w:hAnsi="Times New Roman"/>
        </w:rPr>
        <w:t>travel in a personal vehicle</w:t>
      </w:r>
      <w:r>
        <w:rPr>
          <w:rFonts w:ascii="Times New Roman" w:hAnsi="Times New Roman"/>
        </w:rPr>
        <w:t xml:space="preserve"> if reimbursement will be requested</w:t>
      </w:r>
      <w:r w:rsidR="007D6968">
        <w:rPr>
          <w:rFonts w:ascii="Times New Roman" w:hAnsi="Times New Roman"/>
        </w:rPr>
        <w:t>.</w:t>
      </w:r>
    </w:p>
    <w:p w14:paraId="1C6E2241" w14:textId="77777777" w:rsidR="00C36214" w:rsidRDefault="00C36214" w:rsidP="00CA37F8">
      <w:pPr>
        <w:pStyle w:val="BodyTextIndent"/>
        <w:tabs>
          <w:tab w:val="clear" w:pos="720"/>
        </w:tabs>
        <w:ind w:left="2160" w:hanging="720"/>
        <w:rPr>
          <w:rFonts w:ascii="Times New Roman" w:hAnsi="Times New Roman"/>
        </w:rPr>
      </w:pPr>
    </w:p>
    <w:p w14:paraId="4824D521" w14:textId="70CD910F" w:rsidR="00CA37F8" w:rsidRDefault="00D302DA" w:rsidP="00CA37F8">
      <w:pPr>
        <w:pStyle w:val="BodyTextIndent"/>
        <w:tabs>
          <w:tab w:val="clear" w:pos="720"/>
        </w:tabs>
        <w:ind w:left="2160" w:hanging="720"/>
        <w:rPr>
          <w:rFonts w:ascii="Times New Roman" w:hAnsi="Times New Roman"/>
        </w:rPr>
      </w:pPr>
      <w:r w:rsidRPr="00A662EC">
        <w:rPr>
          <w:rFonts w:ascii="Times New Roman" w:hAnsi="Times New Roman"/>
        </w:rPr>
        <w:t>b</w:t>
      </w:r>
      <w:r w:rsidR="00CA37F8">
        <w:rPr>
          <w:rFonts w:ascii="Times New Roman" w:hAnsi="Times New Roman"/>
        </w:rPr>
        <w:t>.</w:t>
      </w:r>
      <w:r w:rsidR="00CA37F8">
        <w:rPr>
          <w:rFonts w:ascii="Times New Roman" w:hAnsi="Times New Roman"/>
        </w:rPr>
        <w:tab/>
      </w:r>
      <w:proofErr w:type="gramStart"/>
      <w:r w:rsidRPr="00A662EC">
        <w:rPr>
          <w:rFonts w:ascii="Times New Roman" w:hAnsi="Times New Roman"/>
        </w:rPr>
        <w:t>travel</w:t>
      </w:r>
      <w:proofErr w:type="gramEnd"/>
      <w:r w:rsidRPr="00A662EC">
        <w:rPr>
          <w:rFonts w:ascii="Times New Roman" w:hAnsi="Times New Roman"/>
        </w:rPr>
        <w:t xml:space="preserve"> out-of-state for activities other than</w:t>
      </w:r>
      <w:r w:rsidR="00B979EE">
        <w:rPr>
          <w:rFonts w:ascii="Times New Roman" w:hAnsi="Times New Roman"/>
        </w:rPr>
        <w:t xml:space="preserve"> </w:t>
      </w:r>
      <w:r w:rsidR="006F0086">
        <w:rPr>
          <w:rFonts w:ascii="Times New Roman" w:hAnsi="Times New Roman"/>
        </w:rPr>
        <w:t xml:space="preserve">purpose authorized in section </w:t>
      </w:r>
      <w:r w:rsidR="007E0C5C">
        <w:rPr>
          <w:rFonts w:ascii="Times New Roman" w:hAnsi="Times New Roman"/>
        </w:rPr>
        <w:t>3</w:t>
      </w:r>
      <w:r w:rsidR="006F0086">
        <w:rPr>
          <w:rFonts w:ascii="Times New Roman" w:hAnsi="Times New Roman"/>
        </w:rPr>
        <w:t>.1, b through e, above</w:t>
      </w:r>
      <w:r w:rsidR="007D6968">
        <w:rPr>
          <w:rFonts w:ascii="Times New Roman" w:hAnsi="Times New Roman"/>
        </w:rPr>
        <w:t>.</w:t>
      </w:r>
    </w:p>
    <w:p w14:paraId="481131B3" w14:textId="77777777" w:rsidR="00C36214" w:rsidRDefault="00C36214" w:rsidP="00CA37F8">
      <w:pPr>
        <w:pStyle w:val="BodyTextIndent"/>
        <w:tabs>
          <w:tab w:val="clear" w:pos="720"/>
        </w:tabs>
        <w:ind w:left="2160" w:hanging="720"/>
        <w:rPr>
          <w:rFonts w:ascii="Times New Roman" w:hAnsi="Times New Roman"/>
        </w:rPr>
      </w:pPr>
    </w:p>
    <w:p w14:paraId="56AC6A48" w14:textId="1D631751" w:rsidR="00CA37F8" w:rsidRDefault="00D302DA" w:rsidP="00CA37F8">
      <w:pPr>
        <w:pStyle w:val="BodyTextIndent"/>
        <w:tabs>
          <w:tab w:val="clear" w:pos="720"/>
        </w:tabs>
        <w:ind w:left="2160" w:hanging="720"/>
        <w:rPr>
          <w:rFonts w:ascii="Times New Roman" w:hAnsi="Times New Roman"/>
        </w:rPr>
      </w:pPr>
      <w:r w:rsidRPr="00A662EC">
        <w:rPr>
          <w:rFonts w:ascii="Times New Roman" w:hAnsi="Times New Roman"/>
        </w:rPr>
        <w:t>c</w:t>
      </w:r>
      <w:r w:rsidR="00CA37F8">
        <w:rPr>
          <w:rFonts w:ascii="Times New Roman" w:hAnsi="Times New Roman"/>
        </w:rPr>
        <w:t>.</w:t>
      </w:r>
      <w:r w:rsidR="00CA37F8">
        <w:rPr>
          <w:rFonts w:ascii="Times New Roman" w:hAnsi="Times New Roman"/>
        </w:rPr>
        <w:tab/>
      </w:r>
      <w:r w:rsidRPr="00A662EC">
        <w:rPr>
          <w:rFonts w:ascii="Times New Roman" w:hAnsi="Times New Roman"/>
        </w:rPr>
        <w:t>travel for which an advance is requested</w:t>
      </w:r>
      <w:r w:rsidR="007D6968">
        <w:rPr>
          <w:rFonts w:ascii="Times New Roman" w:hAnsi="Times New Roman"/>
        </w:rPr>
        <w:t>.</w:t>
      </w:r>
    </w:p>
    <w:p w14:paraId="2F762639" w14:textId="77777777" w:rsidR="00C36214" w:rsidRDefault="00C36214" w:rsidP="00CA37F8">
      <w:pPr>
        <w:pStyle w:val="BodyTextIndent"/>
        <w:tabs>
          <w:tab w:val="clear" w:pos="720"/>
        </w:tabs>
        <w:ind w:left="2160" w:hanging="720"/>
        <w:rPr>
          <w:rFonts w:ascii="Times New Roman" w:hAnsi="Times New Roman"/>
        </w:rPr>
      </w:pPr>
    </w:p>
    <w:p w14:paraId="62A518EB" w14:textId="7D823439" w:rsidR="00CA37F8" w:rsidRDefault="00D302DA" w:rsidP="00CA37F8">
      <w:pPr>
        <w:pStyle w:val="BodyTextIndent"/>
        <w:tabs>
          <w:tab w:val="clear" w:pos="720"/>
        </w:tabs>
        <w:ind w:left="2160" w:hanging="720"/>
        <w:rPr>
          <w:rFonts w:ascii="Times New Roman" w:hAnsi="Times New Roman"/>
        </w:rPr>
      </w:pPr>
      <w:r>
        <w:rPr>
          <w:rFonts w:ascii="Times New Roman" w:hAnsi="Times New Roman"/>
        </w:rPr>
        <w:t>d</w:t>
      </w:r>
      <w:r w:rsidR="007A10FE">
        <w:rPr>
          <w:rFonts w:ascii="Times New Roman" w:hAnsi="Times New Roman"/>
        </w:rPr>
        <w:t>.</w:t>
      </w:r>
      <w:r w:rsidR="00CA37F8">
        <w:rPr>
          <w:rFonts w:ascii="Times New Roman" w:hAnsi="Times New Roman"/>
        </w:rPr>
        <w:tab/>
      </w:r>
      <w:r w:rsidRPr="00A662EC">
        <w:rPr>
          <w:rFonts w:ascii="Times New Roman" w:hAnsi="Times New Roman"/>
        </w:rPr>
        <w:t>foreign travel</w:t>
      </w:r>
      <w:r w:rsidR="007D6968">
        <w:rPr>
          <w:rFonts w:ascii="Times New Roman" w:hAnsi="Times New Roman"/>
        </w:rPr>
        <w:t>.</w:t>
      </w:r>
    </w:p>
    <w:p w14:paraId="72B9E2C2" w14:textId="77777777" w:rsidR="00C36214" w:rsidRDefault="00C36214" w:rsidP="00CA37F8">
      <w:pPr>
        <w:pStyle w:val="BodyTextIndent"/>
        <w:tabs>
          <w:tab w:val="clear" w:pos="720"/>
        </w:tabs>
        <w:ind w:left="2160" w:hanging="720"/>
        <w:rPr>
          <w:rFonts w:ascii="Times New Roman" w:hAnsi="Times New Roman"/>
        </w:rPr>
      </w:pPr>
    </w:p>
    <w:p w14:paraId="603D2230" w14:textId="071A5896" w:rsidR="00CA37F8" w:rsidRDefault="00D302DA" w:rsidP="00CA37F8">
      <w:pPr>
        <w:pStyle w:val="BodyTextIndent"/>
        <w:tabs>
          <w:tab w:val="clear" w:pos="720"/>
        </w:tabs>
        <w:ind w:left="2160" w:hanging="720"/>
        <w:rPr>
          <w:rFonts w:ascii="Times New Roman" w:hAnsi="Times New Roman"/>
        </w:rPr>
      </w:pPr>
      <w:r>
        <w:rPr>
          <w:rFonts w:ascii="Times New Roman" w:hAnsi="Times New Roman"/>
        </w:rPr>
        <w:t>e</w:t>
      </w:r>
      <w:r w:rsidR="00CA37F8">
        <w:rPr>
          <w:rFonts w:ascii="Times New Roman" w:hAnsi="Times New Roman"/>
        </w:rPr>
        <w:t>.</w:t>
      </w:r>
      <w:r w:rsidR="00CA37F8">
        <w:rPr>
          <w:rFonts w:ascii="Times New Roman" w:hAnsi="Times New Roman"/>
        </w:rPr>
        <w:tab/>
      </w:r>
      <w:r>
        <w:rPr>
          <w:rFonts w:ascii="Times New Roman" w:hAnsi="Times New Roman"/>
        </w:rPr>
        <w:t>travel to Alaska, Hawaii, Canada or Mexico</w:t>
      </w:r>
      <w:r w:rsidR="007D6968">
        <w:rPr>
          <w:rFonts w:ascii="Times New Roman" w:hAnsi="Times New Roman"/>
        </w:rPr>
        <w:t>.</w:t>
      </w:r>
    </w:p>
    <w:p w14:paraId="24557311" w14:textId="77777777" w:rsidR="00C36214" w:rsidRDefault="00C36214" w:rsidP="00CA37F8">
      <w:pPr>
        <w:pStyle w:val="BodyTextIndent"/>
        <w:tabs>
          <w:tab w:val="clear" w:pos="720"/>
        </w:tabs>
        <w:ind w:left="2160" w:hanging="720"/>
        <w:rPr>
          <w:rFonts w:ascii="Times New Roman" w:hAnsi="Times New Roman"/>
        </w:rPr>
      </w:pPr>
    </w:p>
    <w:p w14:paraId="7D2C0EAA" w14:textId="5C5A4344" w:rsidR="00D302DA" w:rsidRDefault="00D302DA" w:rsidP="00CA37F8">
      <w:pPr>
        <w:pStyle w:val="BodyTextIndent"/>
        <w:tabs>
          <w:tab w:val="clear" w:pos="720"/>
        </w:tabs>
        <w:ind w:left="2160" w:hanging="720"/>
        <w:rPr>
          <w:rFonts w:ascii="Times New Roman" w:hAnsi="Times New Roman"/>
        </w:rPr>
      </w:pPr>
      <w:r>
        <w:rPr>
          <w:rFonts w:ascii="Times New Roman" w:hAnsi="Times New Roman"/>
        </w:rPr>
        <w:t>f</w:t>
      </w:r>
      <w:r w:rsidR="00CA37F8">
        <w:rPr>
          <w:rFonts w:ascii="Times New Roman" w:hAnsi="Times New Roman"/>
        </w:rPr>
        <w:t>.</w:t>
      </w:r>
      <w:r w:rsidR="00CA37F8">
        <w:rPr>
          <w:rFonts w:ascii="Times New Roman" w:hAnsi="Times New Roman"/>
        </w:rPr>
        <w:tab/>
      </w:r>
      <w:r w:rsidRPr="00A662EC">
        <w:rPr>
          <w:rFonts w:ascii="Times New Roman" w:hAnsi="Times New Roman"/>
        </w:rPr>
        <w:t xml:space="preserve">travel for which </w:t>
      </w:r>
      <w:r>
        <w:rPr>
          <w:rFonts w:ascii="Times New Roman" w:hAnsi="Times New Roman"/>
        </w:rPr>
        <w:t>“</w:t>
      </w:r>
      <w:r w:rsidRPr="00A662EC">
        <w:rPr>
          <w:rFonts w:ascii="Times New Roman" w:hAnsi="Times New Roman"/>
        </w:rPr>
        <w:t>actual cost</w:t>
      </w:r>
      <w:r>
        <w:rPr>
          <w:rFonts w:ascii="Times New Roman" w:hAnsi="Times New Roman"/>
        </w:rPr>
        <w:t>”</w:t>
      </w:r>
      <w:r w:rsidRPr="00A662EC">
        <w:rPr>
          <w:rFonts w:ascii="Times New Roman" w:hAnsi="Times New Roman"/>
        </w:rPr>
        <w:t xml:space="preserve"> reimbursement will be requested.</w:t>
      </w:r>
    </w:p>
    <w:p w14:paraId="1E3B9881" w14:textId="77777777" w:rsidR="00D302DA" w:rsidRDefault="00D302DA" w:rsidP="00CA37F8">
      <w:pPr>
        <w:pStyle w:val="BodyTextIndent"/>
        <w:tabs>
          <w:tab w:val="clear" w:pos="720"/>
        </w:tabs>
        <w:ind w:left="2160" w:hanging="720"/>
        <w:rPr>
          <w:rFonts w:ascii="Times New Roman" w:hAnsi="Times New Roman"/>
        </w:rPr>
      </w:pPr>
    </w:p>
    <w:p w14:paraId="6F56535E" w14:textId="7B1DE3F9" w:rsidR="00D302DA" w:rsidRDefault="00D302DA" w:rsidP="00D302DA">
      <w:pPr>
        <w:pStyle w:val="BodyTextIndent"/>
        <w:tabs>
          <w:tab w:val="clear" w:pos="720"/>
        </w:tabs>
        <w:ind w:firstLine="0"/>
        <w:rPr>
          <w:rFonts w:ascii="Times New Roman" w:hAnsi="Times New Roman"/>
        </w:rPr>
      </w:pPr>
      <w:r>
        <w:rPr>
          <w:rFonts w:ascii="Times New Roman" w:hAnsi="Times New Roman"/>
        </w:rPr>
        <w:t>If reimbursement will not be requested, travel in a personal vehicle requires verbal approval from the supervisor but does not require a Travel Authorization form.</w:t>
      </w:r>
    </w:p>
    <w:p w14:paraId="5DC93A6D" w14:textId="77777777" w:rsidR="00D12C96" w:rsidRDefault="00D12C96" w:rsidP="00D302DA">
      <w:pPr>
        <w:pStyle w:val="BodyTextIndent"/>
        <w:tabs>
          <w:tab w:val="clear" w:pos="720"/>
        </w:tabs>
        <w:ind w:firstLine="0"/>
        <w:rPr>
          <w:rFonts w:ascii="Times New Roman" w:hAnsi="Times New Roman"/>
        </w:rPr>
      </w:pPr>
    </w:p>
    <w:p w14:paraId="0BD35C6A" w14:textId="053A362B" w:rsidR="00D12C96" w:rsidRDefault="00D12C96" w:rsidP="00D302DA">
      <w:pPr>
        <w:pStyle w:val="BodyTextIndent"/>
        <w:tabs>
          <w:tab w:val="clear" w:pos="720"/>
        </w:tabs>
        <w:ind w:firstLine="0"/>
        <w:rPr>
          <w:rFonts w:ascii="Times New Roman" w:hAnsi="Times New Roman"/>
        </w:rPr>
      </w:pPr>
      <w:r>
        <w:rPr>
          <w:rFonts w:ascii="Times New Roman" w:hAnsi="Times New Roman"/>
        </w:rPr>
        <w:t>All foreign travel must be approved in advance by the Associate Director for Finance and Administration to ensure compliance with export control requirements.</w:t>
      </w:r>
    </w:p>
    <w:p w14:paraId="468D08CD" w14:textId="77777777" w:rsidR="00D302DA" w:rsidRDefault="00D302DA" w:rsidP="00D302DA">
      <w:pPr>
        <w:pStyle w:val="BodyTextIndent"/>
        <w:tabs>
          <w:tab w:val="clear" w:pos="720"/>
        </w:tabs>
        <w:ind w:left="0" w:firstLine="0"/>
        <w:rPr>
          <w:rFonts w:ascii="Times New Roman" w:hAnsi="Times New Roman"/>
        </w:rPr>
      </w:pPr>
    </w:p>
    <w:p w14:paraId="2B978674" w14:textId="77777777" w:rsidR="00D302DA" w:rsidRDefault="00D302DA" w:rsidP="00D302DA">
      <w:pPr>
        <w:pStyle w:val="BodyTextIndent"/>
        <w:numPr>
          <w:ilvl w:val="1"/>
          <w:numId w:val="1"/>
        </w:numPr>
        <w:tabs>
          <w:tab w:val="clear" w:pos="720"/>
          <w:tab w:val="clear" w:pos="1440"/>
        </w:tabs>
        <w:rPr>
          <w:rFonts w:ascii="Times New Roman" w:hAnsi="Times New Roman"/>
        </w:rPr>
      </w:pPr>
      <w:r>
        <w:rPr>
          <w:rFonts w:ascii="Times New Roman" w:hAnsi="Times New Roman"/>
        </w:rPr>
        <w:t>Travel to the Washington, D.C., Area</w:t>
      </w:r>
    </w:p>
    <w:p w14:paraId="6F0DCBC8" w14:textId="77777777" w:rsidR="00D302DA" w:rsidRDefault="00D302DA" w:rsidP="00D302DA">
      <w:pPr>
        <w:pStyle w:val="BodyTextIndent"/>
        <w:tabs>
          <w:tab w:val="clear" w:pos="720"/>
        </w:tabs>
        <w:ind w:left="720" w:firstLine="0"/>
        <w:rPr>
          <w:rFonts w:ascii="Times New Roman" w:hAnsi="Times New Roman"/>
        </w:rPr>
      </w:pPr>
    </w:p>
    <w:p w14:paraId="775FAED1" w14:textId="24D0C1E1" w:rsidR="001E484D" w:rsidRDefault="00D302DA" w:rsidP="00D302DA">
      <w:pPr>
        <w:pStyle w:val="BodyTextIndent"/>
        <w:tabs>
          <w:tab w:val="clear" w:pos="720"/>
        </w:tabs>
        <w:ind w:firstLine="0"/>
        <w:rPr>
          <w:rFonts w:ascii="Times New Roman" w:hAnsi="Times New Roman"/>
        </w:rPr>
      </w:pPr>
      <w:r>
        <w:rPr>
          <w:rFonts w:ascii="Times New Roman" w:hAnsi="Times New Roman"/>
        </w:rPr>
        <w:t>Travel to the Washington, D.C., area</w:t>
      </w:r>
      <w:r w:rsidR="00905B5B">
        <w:rPr>
          <w:rFonts w:ascii="Times New Roman" w:hAnsi="Times New Roman"/>
        </w:rPr>
        <w:t xml:space="preserve"> requires prior approval by the Director and advance reporting</w:t>
      </w:r>
      <w:r w:rsidR="00632FA6">
        <w:rPr>
          <w:rFonts w:ascii="Times New Roman" w:hAnsi="Times New Roman"/>
        </w:rPr>
        <w:t xml:space="preserve"> (3 weeks prior to trip)</w:t>
      </w:r>
      <w:r>
        <w:rPr>
          <w:rFonts w:ascii="Times New Roman" w:hAnsi="Times New Roman"/>
        </w:rPr>
        <w:t>.</w:t>
      </w:r>
    </w:p>
    <w:p w14:paraId="3CE7976E" w14:textId="77777777" w:rsidR="001E484D" w:rsidRDefault="001E484D" w:rsidP="00D302DA">
      <w:pPr>
        <w:pStyle w:val="BodyTextIndent"/>
        <w:tabs>
          <w:tab w:val="clear" w:pos="720"/>
        </w:tabs>
        <w:ind w:firstLine="0"/>
        <w:rPr>
          <w:rFonts w:ascii="Times New Roman" w:hAnsi="Times New Roman"/>
        </w:rPr>
      </w:pPr>
    </w:p>
    <w:p w14:paraId="7F4FA7F8" w14:textId="2DF77172" w:rsidR="00D302DA" w:rsidRDefault="001E484D" w:rsidP="00576220">
      <w:pPr>
        <w:pStyle w:val="BodyTextIndent"/>
        <w:numPr>
          <w:ilvl w:val="0"/>
          <w:numId w:val="11"/>
        </w:numPr>
        <w:tabs>
          <w:tab w:val="clear" w:pos="720"/>
        </w:tabs>
        <w:ind w:hanging="720"/>
        <w:rPr>
          <w:rFonts w:ascii="Times New Roman" w:hAnsi="Times New Roman"/>
        </w:rPr>
      </w:pPr>
      <w:r>
        <w:rPr>
          <w:rFonts w:ascii="Times New Roman" w:hAnsi="Times New Roman"/>
        </w:rPr>
        <w:t xml:space="preserve">Approval is requested by completing and submitting the </w:t>
      </w:r>
      <w:hyperlink r:id="rId12" w:history="1">
        <w:r w:rsidRPr="00632FA6">
          <w:rPr>
            <w:rStyle w:val="Hyperlink"/>
            <w:rFonts w:ascii="Times New Roman" w:hAnsi="Times New Roman"/>
          </w:rPr>
          <w:t>Travel Authorization</w:t>
        </w:r>
      </w:hyperlink>
      <w:r>
        <w:rPr>
          <w:rFonts w:ascii="Times New Roman" w:hAnsi="Times New Roman"/>
        </w:rPr>
        <w:t xml:space="preserve"> form.</w:t>
      </w:r>
    </w:p>
    <w:p w14:paraId="2DEBE016" w14:textId="77777777" w:rsidR="00D302DA" w:rsidRDefault="00D302DA" w:rsidP="00D302DA">
      <w:pPr>
        <w:pStyle w:val="BodyTextIndent"/>
        <w:tabs>
          <w:tab w:val="clear" w:pos="720"/>
        </w:tabs>
        <w:ind w:firstLine="0"/>
        <w:rPr>
          <w:rFonts w:ascii="Times New Roman" w:hAnsi="Times New Roman"/>
        </w:rPr>
      </w:pPr>
    </w:p>
    <w:p w14:paraId="563BF6C5" w14:textId="449A1033" w:rsidR="00E141F8" w:rsidRDefault="00E26806" w:rsidP="00576220">
      <w:pPr>
        <w:pStyle w:val="BodyTextIndent"/>
        <w:numPr>
          <w:ilvl w:val="0"/>
          <w:numId w:val="11"/>
        </w:numPr>
        <w:tabs>
          <w:tab w:val="clear" w:pos="720"/>
        </w:tabs>
        <w:ind w:hanging="720"/>
        <w:rPr>
          <w:rFonts w:ascii="Times New Roman" w:hAnsi="Times New Roman"/>
        </w:rPr>
      </w:pPr>
      <w:r>
        <w:rPr>
          <w:rFonts w:ascii="Times New Roman" w:hAnsi="Times New Roman"/>
        </w:rPr>
        <w:t>Advance notification for all Washington D</w:t>
      </w:r>
      <w:r w:rsidR="00576220">
        <w:rPr>
          <w:rFonts w:ascii="Times New Roman" w:hAnsi="Times New Roman"/>
        </w:rPr>
        <w:t>.</w:t>
      </w:r>
      <w:r>
        <w:rPr>
          <w:rFonts w:ascii="Times New Roman" w:hAnsi="Times New Roman"/>
        </w:rPr>
        <w:t>C</w:t>
      </w:r>
      <w:r w:rsidR="00576220">
        <w:rPr>
          <w:rFonts w:ascii="Times New Roman" w:hAnsi="Times New Roman"/>
        </w:rPr>
        <w:t>.</w:t>
      </w:r>
      <w:r>
        <w:rPr>
          <w:rFonts w:ascii="Times New Roman" w:hAnsi="Times New Roman"/>
        </w:rPr>
        <w:t xml:space="preserve"> </w:t>
      </w:r>
      <w:r w:rsidR="001E484D">
        <w:rPr>
          <w:rFonts w:ascii="Times New Roman" w:hAnsi="Times New Roman"/>
        </w:rPr>
        <w:t xml:space="preserve">area </w:t>
      </w:r>
      <w:r>
        <w:rPr>
          <w:rFonts w:ascii="Times New Roman" w:hAnsi="Times New Roman"/>
        </w:rPr>
        <w:t xml:space="preserve">travel must be provided to the AgriLife Office of Federal Relations.  Upon approval </w:t>
      </w:r>
      <w:r w:rsidR="001E484D">
        <w:rPr>
          <w:rFonts w:ascii="Times New Roman" w:hAnsi="Times New Roman"/>
        </w:rPr>
        <w:t xml:space="preserve">of the Travel Authorization form </w:t>
      </w:r>
      <w:r>
        <w:rPr>
          <w:rFonts w:ascii="Times New Roman" w:hAnsi="Times New Roman"/>
        </w:rPr>
        <w:t>by the Director, the Executive Assistant will complete the required on-line Washington D</w:t>
      </w:r>
      <w:r w:rsidR="00A47E2A">
        <w:rPr>
          <w:rFonts w:ascii="Times New Roman" w:hAnsi="Times New Roman"/>
        </w:rPr>
        <w:t>.</w:t>
      </w:r>
      <w:r>
        <w:rPr>
          <w:rFonts w:ascii="Times New Roman" w:hAnsi="Times New Roman"/>
        </w:rPr>
        <w:t>C</w:t>
      </w:r>
      <w:r w:rsidR="00A47E2A">
        <w:rPr>
          <w:rFonts w:ascii="Times New Roman" w:hAnsi="Times New Roman"/>
        </w:rPr>
        <w:t>.</w:t>
      </w:r>
      <w:r>
        <w:rPr>
          <w:rFonts w:ascii="Times New Roman" w:hAnsi="Times New Roman"/>
        </w:rPr>
        <w:t xml:space="preserve"> Travel Form.</w:t>
      </w:r>
    </w:p>
    <w:p w14:paraId="4227D44E" w14:textId="77777777" w:rsidR="00E26806" w:rsidRDefault="00E26806" w:rsidP="00D302DA">
      <w:pPr>
        <w:pStyle w:val="BodyTextIndent"/>
        <w:tabs>
          <w:tab w:val="clear" w:pos="720"/>
        </w:tabs>
        <w:ind w:firstLine="0"/>
        <w:rPr>
          <w:rFonts w:ascii="Times New Roman" w:hAnsi="Times New Roman"/>
        </w:rPr>
      </w:pPr>
    </w:p>
    <w:p w14:paraId="6D5177B8" w14:textId="2FEE5597" w:rsidR="009375A3" w:rsidRDefault="000806FA" w:rsidP="009375A3">
      <w:pPr>
        <w:pStyle w:val="BodyTextIndent"/>
        <w:tabs>
          <w:tab w:val="clear" w:pos="720"/>
        </w:tabs>
        <w:ind w:left="2160" w:firstLine="0"/>
        <w:rPr>
          <w:rFonts w:ascii="Times New Roman" w:hAnsi="Times New Roman"/>
        </w:rPr>
      </w:pPr>
      <w:r w:rsidRPr="000806FA">
        <w:rPr>
          <w:rFonts w:ascii="Times New Roman" w:hAnsi="Times New Roman"/>
        </w:rPr>
        <w:t>Advance notification of Washington D</w:t>
      </w:r>
      <w:r w:rsidR="00A47E2A">
        <w:rPr>
          <w:rFonts w:ascii="Times New Roman" w:hAnsi="Times New Roman"/>
        </w:rPr>
        <w:t>.</w:t>
      </w:r>
      <w:r w:rsidRPr="000806FA">
        <w:rPr>
          <w:rFonts w:ascii="Times New Roman" w:hAnsi="Times New Roman"/>
        </w:rPr>
        <w:t>C</w:t>
      </w:r>
      <w:r w:rsidR="00A47E2A">
        <w:rPr>
          <w:rFonts w:ascii="Times New Roman" w:hAnsi="Times New Roman"/>
        </w:rPr>
        <w:t>.</w:t>
      </w:r>
      <w:r w:rsidRPr="000806FA">
        <w:rPr>
          <w:rFonts w:ascii="Times New Roman" w:hAnsi="Times New Roman"/>
        </w:rPr>
        <w:t xml:space="preserve"> area travel must be provided</w:t>
      </w:r>
      <w:r w:rsidR="00905B5B" w:rsidRPr="000806FA">
        <w:rPr>
          <w:rFonts w:ascii="Times New Roman" w:hAnsi="Times New Roman"/>
        </w:rPr>
        <w:t xml:space="preserve"> to the Texas Offic</w:t>
      </w:r>
      <w:r w:rsidR="00905B5B" w:rsidRPr="001E484D">
        <w:rPr>
          <w:rFonts w:ascii="Times New Roman" w:hAnsi="Times New Roman"/>
        </w:rPr>
        <w:t>e of State</w:t>
      </w:r>
      <w:r w:rsidR="00905B5B" w:rsidRPr="00A47E2A">
        <w:rPr>
          <w:rFonts w:ascii="Times New Roman" w:hAnsi="Times New Roman"/>
        </w:rPr>
        <w:t>-Federal Relations</w:t>
      </w:r>
      <w:r w:rsidR="00E141F8" w:rsidRPr="00A47E2A">
        <w:rPr>
          <w:rFonts w:ascii="Times New Roman" w:hAnsi="Times New Roman"/>
        </w:rPr>
        <w:t xml:space="preserve"> (OSFR)</w:t>
      </w:r>
      <w:r w:rsidR="00905B5B" w:rsidRPr="00A47E2A">
        <w:rPr>
          <w:rFonts w:ascii="Times New Roman" w:hAnsi="Times New Roman"/>
        </w:rPr>
        <w:t xml:space="preserve"> if</w:t>
      </w:r>
      <w:r w:rsidR="00481136">
        <w:rPr>
          <w:rFonts w:ascii="Times New Roman" w:hAnsi="Times New Roman"/>
        </w:rPr>
        <w:t xml:space="preserve">: </w:t>
      </w:r>
      <w:r w:rsidR="00481136" w:rsidRPr="00A47E2A">
        <w:rPr>
          <w:rFonts w:ascii="Times New Roman" w:hAnsi="Times New Roman"/>
        </w:rPr>
        <w:t>(</w:t>
      </w:r>
      <w:r w:rsidRPr="00A47E2A">
        <w:rPr>
          <w:rFonts w:ascii="Times New Roman" w:hAnsi="Times New Roman"/>
        </w:rPr>
        <w:t xml:space="preserve">1) </w:t>
      </w:r>
      <w:r w:rsidR="00E141F8" w:rsidRPr="00A47E2A">
        <w:rPr>
          <w:rFonts w:ascii="Times New Roman" w:hAnsi="Times New Roman"/>
        </w:rPr>
        <w:t>appropriated funds are to be used to pay for the travel</w:t>
      </w:r>
      <w:r w:rsidRPr="00A47E2A">
        <w:rPr>
          <w:rFonts w:ascii="Times New Roman" w:hAnsi="Times New Roman"/>
        </w:rPr>
        <w:t>, and (2) the traveler will be engaging in activities to obtain or spend federal funds or to impact federal policies</w:t>
      </w:r>
      <w:r w:rsidR="00E141F8" w:rsidRPr="00A47E2A">
        <w:rPr>
          <w:rFonts w:ascii="Times New Roman" w:hAnsi="Times New Roman"/>
        </w:rPr>
        <w:t xml:space="preserve">.  </w:t>
      </w:r>
      <w:r w:rsidR="00544529">
        <w:rPr>
          <w:rFonts w:ascii="Times New Roman" w:hAnsi="Times New Roman"/>
        </w:rPr>
        <w:t xml:space="preserve">Texas A&amp;M Forest Service </w:t>
      </w:r>
      <w:r w:rsidR="00E141F8" w:rsidRPr="00A47E2A">
        <w:rPr>
          <w:rFonts w:ascii="Times New Roman" w:hAnsi="Times New Roman"/>
        </w:rPr>
        <w:t xml:space="preserve">does not allow funds held in state treasury to be used for out of state travel; however, appropriated funds </w:t>
      </w:r>
      <w:r w:rsidR="00E141F8" w:rsidRPr="00A47E2A">
        <w:rPr>
          <w:rFonts w:ascii="Times New Roman" w:hAnsi="Times New Roman"/>
        </w:rPr>
        <w:lastRenderedPageBreak/>
        <w:t xml:space="preserve">held locally (accounts beginning with a 13 or 14) may be used.  If the travel </w:t>
      </w:r>
      <w:r w:rsidRPr="00A47E2A">
        <w:rPr>
          <w:rFonts w:ascii="Times New Roman" w:hAnsi="Times New Roman"/>
        </w:rPr>
        <w:t xml:space="preserve">meets these criteria,  </w:t>
      </w:r>
      <w:r w:rsidR="00D302DA" w:rsidRPr="00A47E2A">
        <w:rPr>
          <w:rFonts w:ascii="Times New Roman" w:hAnsi="Times New Roman"/>
        </w:rPr>
        <w:t>the OSFR</w:t>
      </w:r>
      <w:r w:rsidR="00E141F8" w:rsidRPr="00A47E2A">
        <w:rPr>
          <w:rFonts w:ascii="Times New Roman" w:hAnsi="Times New Roman"/>
        </w:rPr>
        <w:t>’</w:t>
      </w:r>
      <w:r w:rsidR="00D302DA" w:rsidRPr="00A47E2A">
        <w:rPr>
          <w:rFonts w:ascii="Times New Roman" w:hAnsi="Times New Roman"/>
        </w:rPr>
        <w:t xml:space="preserve">s </w:t>
      </w:r>
      <w:hyperlink r:id="rId13" w:history="1">
        <w:r w:rsidR="00D302DA" w:rsidRPr="00A47E2A">
          <w:rPr>
            <w:rFonts w:ascii="Times New Roman" w:hAnsi="Times New Roman"/>
          </w:rPr>
          <w:t>Report of State Agency Travel to Washington, D</w:t>
        </w:r>
        <w:r w:rsidR="00A47E2A">
          <w:rPr>
            <w:rFonts w:ascii="Times New Roman" w:hAnsi="Times New Roman"/>
          </w:rPr>
          <w:t>.</w:t>
        </w:r>
        <w:r w:rsidR="00D302DA" w:rsidRPr="00A47E2A">
          <w:rPr>
            <w:rFonts w:ascii="Times New Roman" w:hAnsi="Times New Roman"/>
          </w:rPr>
          <w:t>C</w:t>
        </w:r>
      </w:hyperlink>
      <w:r w:rsidR="00A47E2A">
        <w:rPr>
          <w:rFonts w:ascii="Times New Roman" w:hAnsi="Times New Roman"/>
        </w:rPr>
        <w:t>.</w:t>
      </w:r>
      <w:r w:rsidR="00D302DA" w:rsidRPr="001E484D">
        <w:rPr>
          <w:rFonts w:ascii="Times New Roman" w:hAnsi="Times New Roman"/>
        </w:rPr>
        <w:t xml:space="preserve"> must be completed and attached to</w:t>
      </w:r>
      <w:r w:rsidR="00D302DA" w:rsidRPr="00A47E2A">
        <w:rPr>
          <w:rFonts w:ascii="Times New Roman" w:hAnsi="Times New Roman"/>
        </w:rPr>
        <w:t xml:space="preserve"> the Travel Authorization form</w:t>
      </w:r>
      <w:r w:rsidR="00217059">
        <w:rPr>
          <w:rFonts w:ascii="Times New Roman" w:hAnsi="Times New Roman"/>
        </w:rPr>
        <w:t>.</w:t>
      </w:r>
    </w:p>
    <w:p w14:paraId="53BD0C2A" w14:textId="136F23E1" w:rsidR="009375A3" w:rsidRDefault="009375A3" w:rsidP="009375A3">
      <w:pPr>
        <w:pStyle w:val="BodyTextIndent"/>
        <w:tabs>
          <w:tab w:val="clear" w:pos="720"/>
        </w:tabs>
        <w:ind w:left="2160" w:firstLine="0"/>
        <w:rPr>
          <w:rFonts w:ascii="Times New Roman" w:hAnsi="Times New Roman"/>
        </w:rPr>
      </w:pPr>
    </w:p>
    <w:p w14:paraId="48789D3A" w14:textId="628CEF16" w:rsidR="00E141F8" w:rsidRPr="001E484D" w:rsidRDefault="00D302DA" w:rsidP="00576220">
      <w:pPr>
        <w:pStyle w:val="BodyTextIndent"/>
        <w:numPr>
          <w:ilvl w:val="0"/>
          <w:numId w:val="11"/>
        </w:numPr>
        <w:tabs>
          <w:tab w:val="clear" w:pos="720"/>
        </w:tabs>
        <w:ind w:hanging="720"/>
        <w:rPr>
          <w:rFonts w:ascii="Times New Roman" w:hAnsi="Times New Roman"/>
        </w:rPr>
      </w:pPr>
      <w:r w:rsidRPr="001E484D">
        <w:rPr>
          <w:rFonts w:ascii="Times New Roman" w:hAnsi="Times New Roman"/>
        </w:rPr>
        <w:t xml:space="preserve">If the traveler intends to provide testimony to a Congressional Committee or an Agency Rule-Making Authority, a copy of the testimony must also be </w:t>
      </w:r>
      <w:r w:rsidR="000806FA" w:rsidRPr="001E484D">
        <w:rPr>
          <w:rFonts w:ascii="Times New Roman" w:hAnsi="Times New Roman"/>
        </w:rPr>
        <w:t xml:space="preserve">attached.  </w:t>
      </w:r>
      <w:r w:rsidR="00E141F8" w:rsidRPr="001E484D">
        <w:rPr>
          <w:rFonts w:ascii="Times New Roman" w:hAnsi="Times New Roman"/>
        </w:rPr>
        <w:t xml:space="preserve">Upon approval </w:t>
      </w:r>
      <w:r w:rsidR="001E484D">
        <w:rPr>
          <w:rFonts w:ascii="Times New Roman" w:hAnsi="Times New Roman"/>
        </w:rPr>
        <w:t xml:space="preserve">of the Travel Authorization form </w:t>
      </w:r>
      <w:r w:rsidR="00E141F8" w:rsidRPr="001E484D">
        <w:rPr>
          <w:rFonts w:ascii="Times New Roman" w:hAnsi="Times New Roman"/>
        </w:rPr>
        <w:t>by the Director, the Executive Assistant will submit the required report to OSFR</w:t>
      </w:r>
      <w:r w:rsidR="001E484D">
        <w:rPr>
          <w:rFonts w:ascii="Times New Roman" w:hAnsi="Times New Roman"/>
        </w:rPr>
        <w:t>.</w:t>
      </w:r>
    </w:p>
    <w:p w14:paraId="29B6F5D1" w14:textId="77777777" w:rsidR="00D302DA" w:rsidRPr="00A662EC" w:rsidRDefault="00D302DA" w:rsidP="00B960F4">
      <w:pPr>
        <w:pStyle w:val="BodyTextIndent"/>
        <w:tabs>
          <w:tab w:val="clear" w:pos="720"/>
          <w:tab w:val="left" w:pos="2160"/>
        </w:tabs>
        <w:rPr>
          <w:rFonts w:ascii="Times New Roman" w:hAnsi="Times New Roman"/>
        </w:rPr>
      </w:pPr>
    </w:p>
    <w:p w14:paraId="6B0125B8" w14:textId="27CCD9ED" w:rsidR="00D302DA" w:rsidRPr="00A662EC" w:rsidRDefault="00D302DA" w:rsidP="00D302DA">
      <w:pPr>
        <w:pStyle w:val="BodyTextIndent"/>
        <w:numPr>
          <w:ilvl w:val="1"/>
          <w:numId w:val="1"/>
        </w:numPr>
        <w:tabs>
          <w:tab w:val="clear" w:pos="720"/>
          <w:tab w:val="clear" w:pos="1440"/>
        </w:tabs>
        <w:rPr>
          <w:rFonts w:ascii="Times New Roman" w:hAnsi="Times New Roman"/>
        </w:rPr>
      </w:pPr>
      <w:r w:rsidRPr="00A662EC">
        <w:rPr>
          <w:rFonts w:ascii="Times New Roman" w:hAnsi="Times New Roman"/>
        </w:rPr>
        <w:t>The following approvals are required</w:t>
      </w:r>
      <w:r>
        <w:rPr>
          <w:rFonts w:ascii="Times New Roman" w:hAnsi="Times New Roman"/>
        </w:rPr>
        <w:t xml:space="preserve"> for the Travel Authorization form.</w:t>
      </w:r>
      <w:r w:rsidRPr="00A662EC">
        <w:rPr>
          <w:rFonts w:ascii="Times New Roman" w:hAnsi="Times New Roman"/>
        </w:rPr>
        <w:t xml:space="preserve"> </w:t>
      </w:r>
      <w:r>
        <w:rPr>
          <w:rFonts w:ascii="Times New Roman" w:hAnsi="Times New Roman"/>
        </w:rPr>
        <w:t xml:space="preserve"> </w:t>
      </w:r>
      <w:r w:rsidR="00632FA6">
        <w:rPr>
          <w:rFonts w:ascii="Times New Roman" w:hAnsi="Times New Roman"/>
        </w:rPr>
        <w:t xml:space="preserve">This </w:t>
      </w:r>
      <w:r>
        <w:rPr>
          <w:rFonts w:ascii="Times New Roman" w:hAnsi="Times New Roman"/>
        </w:rPr>
        <w:t xml:space="preserve">form should be routed through the chain of </w:t>
      </w:r>
      <w:r w:rsidR="008B36EA">
        <w:rPr>
          <w:rFonts w:ascii="Times New Roman" w:hAnsi="Times New Roman"/>
        </w:rPr>
        <w:t>c</w:t>
      </w:r>
      <w:r>
        <w:rPr>
          <w:rFonts w:ascii="Times New Roman" w:hAnsi="Times New Roman"/>
        </w:rPr>
        <w:t xml:space="preserve">ommand.  </w:t>
      </w:r>
      <w:r w:rsidR="00632FA6">
        <w:rPr>
          <w:rFonts w:ascii="Times New Roman" w:hAnsi="Times New Roman"/>
        </w:rPr>
        <w:t>The a</w:t>
      </w:r>
      <w:r>
        <w:rPr>
          <w:rFonts w:ascii="Times New Roman" w:hAnsi="Times New Roman"/>
        </w:rPr>
        <w:t xml:space="preserve">pproved Travel Authorization form should be sent to the accounts payable office if an advance is requested; </w:t>
      </w:r>
      <w:r w:rsidR="0077051F">
        <w:rPr>
          <w:rFonts w:ascii="Times New Roman" w:hAnsi="Times New Roman"/>
        </w:rPr>
        <w:t>otherwise,</w:t>
      </w:r>
      <w:r>
        <w:rPr>
          <w:rFonts w:ascii="Times New Roman" w:hAnsi="Times New Roman"/>
        </w:rPr>
        <w:t xml:space="preserve"> the form should be returned to the employee.</w:t>
      </w:r>
    </w:p>
    <w:p w14:paraId="742E850A" w14:textId="77777777" w:rsidR="00D302DA" w:rsidRPr="00A662EC" w:rsidRDefault="00D302DA" w:rsidP="00576220"/>
    <w:tbl>
      <w:tblPr>
        <w:tblW w:w="0" w:type="auto"/>
        <w:jc w:val="right"/>
        <w:tblLayout w:type="fixed"/>
        <w:tblCellMar>
          <w:left w:w="0" w:type="dxa"/>
          <w:right w:w="0" w:type="dxa"/>
        </w:tblCellMar>
        <w:tblLook w:val="0000" w:firstRow="0" w:lastRow="0" w:firstColumn="0" w:lastColumn="0" w:noHBand="0" w:noVBand="0"/>
      </w:tblPr>
      <w:tblGrid>
        <w:gridCol w:w="3857"/>
        <w:gridCol w:w="3960"/>
      </w:tblGrid>
      <w:tr w:rsidR="00D302DA" w14:paraId="660384FE" w14:textId="77777777" w:rsidTr="00F76CB4">
        <w:trPr>
          <w:jc w:val="right"/>
        </w:trPr>
        <w:tc>
          <w:tcPr>
            <w:tcW w:w="3857" w:type="dxa"/>
            <w:tcBorders>
              <w:top w:val="threeDEmboss" w:sz="6" w:space="0" w:color="auto"/>
              <w:left w:val="threeDEmboss" w:sz="6" w:space="0" w:color="auto"/>
              <w:bottom w:val="threeDEmboss" w:sz="6" w:space="0" w:color="auto"/>
              <w:right w:val="threeDEmboss" w:sz="6" w:space="0" w:color="auto"/>
            </w:tcBorders>
            <w:shd w:val="pct12" w:color="auto" w:fill="auto"/>
          </w:tcPr>
          <w:p w14:paraId="37B2C85E" w14:textId="77777777" w:rsidR="00D302DA" w:rsidRPr="00F76CB4" w:rsidRDefault="00D302DA" w:rsidP="00F81055">
            <w:pPr>
              <w:jc w:val="center"/>
              <w:rPr>
                <w:b/>
                <w:sz w:val="20"/>
              </w:rPr>
            </w:pPr>
            <w:r w:rsidRPr="00F76CB4">
              <w:rPr>
                <w:b/>
                <w:sz w:val="20"/>
              </w:rPr>
              <w:t>Travel Type</w:t>
            </w:r>
          </w:p>
        </w:tc>
        <w:tc>
          <w:tcPr>
            <w:tcW w:w="3960" w:type="dxa"/>
            <w:tcBorders>
              <w:top w:val="threeDEmboss" w:sz="6" w:space="0" w:color="auto"/>
              <w:left w:val="threeDEmboss" w:sz="6" w:space="0" w:color="auto"/>
              <w:bottom w:val="threeDEmboss" w:sz="6" w:space="0" w:color="auto"/>
              <w:right w:val="threeDEmboss" w:sz="6" w:space="0" w:color="auto"/>
            </w:tcBorders>
            <w:shd w:val="pct12" w:color="auto" w:fill="auto"/>
          </w:tcPr>
          <w:p w14:paraId="60BDA22D" w14:textId="77777777" w:rsidR="00D302DA" w:rsidRPr="00F76CB4" w:rsidRDefault="00D302DA" w:rsidP="00F81055">
            <w:pPr>
              <w:jc w:val="center"/>
              <w:rPr>
                <w:b/>
                <w:sz w:val="20"/>
              </w:rPr>
            </w:pPr>
            <w:r w:rsidRPr="00F76CB4">
              <w:rPr>
                <w:b/>
                <w:sz w:val="20"/>
              </w:rPr>
              <w:t>Required Approvals</w:t>
            </w:r>
          </w:p>
        </w:tc>
      </w:tr>
      <w:tr w:rsidR="00D302DA" w14:paraId="1ADD551C" w14:textId="77777777" w:rsidTr="00F76CB4">
        <w:trPr>
          <w:jc w:val="right"/>
        </w:trPr>
        <w:tc>
          <w:tcPr>
            <w:tcW w:w="3857" w:type="dxa"/>
            <w:tcBorders>
              <w:top w:val="threeDEmboss" w:sz="6" w:space="0" w:color="auto"/>
              <w:left w:val="threeDEmboss" w:sz="6" w:space="0" w:color="auto"/>
              <w:bottom w:val="threeDEmboss" w:sz="6" w:space="0" w:color="auto"/>
              <w:right w:val="threeDEmboss" w:sz="6" w:space="0" w:color="auto"/>
            </w:tcBorders>
          </w:tcPr>
          <w:p w14:paraId="5CABE90A" w14:textId="77777777" w:rsidR="00231ADA" w:rsidRDefault="00231ADA" w:rsidP="00EF5FAC">
            <w:pPr>
              <w:ind w:left="144"/>
              <w:rPr>
                <w:sz w:val="18"/>
              </w:rPr>
            </w:pPr>
          </w:p>
          <w:p w14:paraId="4A17FBC6" w14:textId="77777777" w:rsidR="00D302DA" w:rsidRPr="007A1A78" w:rsidRDefault="00D302DA" w:rsidP="00EF5FAC">
            <w:pPr>
              <w:ind w:left="144"/>
              <w:rPr>
                <w:sz w:val="18"/>
              </w:rPr>
            </w:pPr>
            <w:r w:rsidRPr="007A1A78">
              <w:rPr>
                <w:sz w:val="18"/>
              </w:rPr>
              <w:t>Non-Routine Travel</w:t>
            </w:r>
          </w:p>
          <w:p w14:paraId="1522BE4A" w14:textId="77777777" w:rsidR="00D302DA" w:rsidRPr="007A1A78" w:rsidRDefault="00D302DA" w:rsidP="00F81055">
            <w:pPr>
              <w:rPr>
                <w:sz w:val="18"/>
              </w:rPr>
            </w:pPr>
          </w:p>
          <w:p w14:paraId="70EACAD0" w14:textId="34EABA03" w:rsidR="00D302DA" w:rsidRPr="007A1A78" w:rsidRDefault="00D302DA" w:rsidP="00F81055">
            <w:pPr>
              <w:ind w:left="720"/>
              <w:rPr>
                <w:sz w:val="18"/>
              </w:rPr>
            </w:pPr>
            <w:r w:rsidRPr="007A1A78">
              <w:rPr>
                <w:sz w:val="18"/>
              </w:rPr>
              <w:t>Washington, D</w:t>
            </w:r>
            <w:r w:rsidR="00D4542A">
              <w:rPr>
                <w:sz w:val="18"/>
              </w:rPr>
              <w:t>.</w:t>
            </w:r>
            <w:r w:rsidRPr="007A1A78">
              <w:rPr>
                <w:sz w:val="18"/>
              </w:rPr>
              <w:t>C</w:t>
            </w:r>
            <w:r w:rsidR="00D4542A">
              <w:rPr>
                <w:sz w:val="18"/>
              </w:rPr>
              <w:t>.</w:t>
            </w:r>
            <w:r w:rsidRPr="007A1A78">
              <w:rPr>
                <w:sz w:val="18"/>
              </w:rPr>
              <w:t xml:space="preserve"> area</w:t>
            </w:r>
            <w:r w:rsidRPr="007A1A78">
              <w:rPr>
                <w:sz w:val="18"/>
              </w:rPr>
              <w:br/>
            </w:r>
          </w:p>
          <w:p w14:paraId="7A7374A9" w14:textId="77777777" w:rsidR="00D12C96" w:rsidRPr="007A1A78" w:rsidRDefault="00D302DA" w:rsidP="00F81055">
            <w:pPr>
              <w:ind w:left="720"/>
              <w:rPr>
                <w:iCs/>
                <w:sz w:val="18"/>
              </w:rPr>
            </w:pPr>
            <w:r w:rsidRPr="007A1A78">
              <w:rPr>
                <w:sz w:val="18"/>
              </w:rPr>
              <w:t xml:space="preserve">Foreign Travel </w:t>
            </w:r>
            <w:r w:rsidRPr="007A1A78">
              <w:rPr>
                <w:i/>
                <w:sz w:val="18"/>
              </w:rPr>
              <w:t>(travel outside of U.S. to foreign countries)</w:t>
            </w:r>
            <w:r w:rsidRPr="007A1A78">
              <w:rPr>
                <w:i/>
                <w:sz w:val="18"/>
              </w:rPr>
              <w:br/>
            </w:r>
          </w:p>
          <w:p w14:paraId="3A4F7533" w14:textId="77777777" w:rsidR="00D302DA" w:rsidRPr="007A1A78" w:rsidRDefault="00D302DA" w:rsidP="00F81055">
            <w:pPr>
              <w:ind w:left="720"/>
              <w:rPr>
                <w:iCs/>
                <w:sz w:val="18"/>
              </w:rPr>
            </w:pPr>
            <w:r>
              <w:rPr>
                <w:iCs/>
                <w:sz w:val="18"/>
              </w:rPr>
              <w:t>“</w:t>
            </w:r>
            <w:r w:rsidRPr="007A1A78">
              <w:rPr>
                <w:iCs/>
                <w:sz w:val="18"/>
              </w:rPr>
              <w:t xml:space="preserve">Actual </w:t>
            </w:r>
            <w:r>
              <w:rPr>
                <w:iCs/>
                <w:sz w:val="18"/>
              </w:rPr>
              <w:t xml:space="preserve">Cost” </w:t>
            </w:r>
          </w:p>
          <w:p w14:paraId="154FFE78" w14:textId="77777777" w:rsidR="00D302DA" w:rsidRPr="007A1A78" w:rsidRDefault="00D302DA" w:rsidP="00F81055">
            <w:pPr>
              <w:ind w:left="720"/>
              <w:rPr>
                <w:iCs/>
                <w:sz w:val="18"/>
              </w:rPr>
            </w:pPr>
          </w:p>
          <w:p w14:paraId="38E20C5F" w14:textId="77777777" w:rsidR="00D302DA" w:rsidRPr="007A1A78" w:rsidRDefault="00D302DA" w:rsidP="00F81055">
            <w:pPr>
              <w:ind w:left="720"/>
              <w:rPr>
                <w:sz w:val="18"/>
              </w:rPr>
            </w:pPr>
            <w:r w:rsidRPr="007A1A78">
              <w:rPr>
                <w:sz w:val="18"/>
              </w:rPr>
              <w:t>Other Non-Routine Travel</w:t>
            </w:r>
          </w:p>
          <w:p w14:paraId="53017CFD" w14:textId="77777777" w:rsidR="00D302DA" w:rsidRPr="007A1A78" w:rsidRDefault="00D302DA" w:rsidP="00F81055">
            <w:pPr>
              <w:pStyle w:val="BodyText"/>
              <w:ind w:left="1044"/>
              <w:rPr>
                <w:rFonts w:ascii="Times New Roman" w:hAnsi="Times New Roman"/>
                <w:sz w:val="18"/>
              </w:rPr>
            </w:pPr>
            <w:r w:rsidRPr="007A1A78">
              <w:rPr>
                <w:rFonts w:ascii="Times New Roman" w:hAnsi="Times New Roman"/>
                <w:sz w:val="18"/>
              </w:rPr>
              <w:t>Associate Directors</w:t>
            </w:r>
          </w:p>
          <w:p w14:paraId="7B24E600" w14:textId="77777777" w:rsidR="00D302DA" w:rsidRPr="007A1A78" w:rsidRDefault="00D302DA" w:rsidP="00F81055">
            <w:pPr>
              <w:pStyle w:val="BodyText"/>
              <w:ind w:left="1044"/>
              <w:rPr>
                <w:rFonts w:ascii="Times New Roman" w:hAnsi="Times New Roman"/>
                <w:sz w:val="18"/>
              </w:rPr>
            </w:pPr>
            <w:r w:rsidRPr="007A1A78">
              <w:rPr>
                <w:rFonts w:ascii="Times New Roman" w:hAnsi="Times New Roman"/>
                <w:sz w:val="18"/>
              </w:rPr>
              <w:t>All Other Staff</w:t>
            </w:r>
          </w:p>
          <w:p w14:paraId="51988403" w14:textId="77777777" w:rsidR="00D302DA" w:rsidRPr="007A1A78" w:rsidRDefault="00D302DA" w:rsidP="00F81055">
            <w:pPr>
              <w:rPr>
                <w:iCs/>
                <w:sz w:val="18"/>
              </w:rPr>
            </w:pPr>
          </w:p>
        </w:tc>
        <w:tc>
          <w:tcPr>
            <w:tcW w:w="3960" w:type="dxa"/>
            <w:tcBorders>
              <w:top w:val="threeDEmboss" w:sz="6" w:space="0" w:color="auto"/>
              <w:left w:val="threeDEmboss" w:sz="6" w:space="0" w:color="auto"/>
              <w:bottom w:val="threeDEmboss" w:sz="6" w:space="0" w:color="auto"/>
              <w:right w:val="threeDEmboss" w:sz="6" w:space="0" w:color="auto"/>
            </w:tcBorders>
          </w:tcPr>
          <w:p w14:paraId="630D4439" w14:textId="77777777" w:rsidR="00D302DA" w:rsidRPr="007A1A78" w:rsidRDefault="00D302DA" w:rsidP="00F81055">
            <w:pPr>
              <w:pStyle w:val="FootnoteText"/>
              <w:rPr>
                <w:rFonts w:ascii="Times New Roman" w:hAnsi="Times New Roman"/>
                <w:sz w:val="18"/>
              </w:rPr>
            </w:pPr>
          </w:p>
          <w:p w14:paraId="0EFF3672" w14:textId="77777777" w:rsidR="00D302DA" w:rsidRPr="007A1A78" w:rsidRDefault="00D302DA" w:rsidP="00F81055">
            <w:pPr>
              <w:pStyle w:val="FootnoteText"/>
              <w:rPr>
                <w:rFonts w:ascii="Times New Roman" w:hAnsi="Times New Roman"/>
                <w:sz w:val="18"/>
              </w:rPr>
            </w:pPr>
          </w:p>
          <w:p w14:paraId="6FD870ED" w14:textId="77777777" w:rsidR="00231ADA" w:rsidRDefault="00231ADA" w:rsidP="00EF5FAC">
            <w:pPr>
              <w:pStyle w:val="FootnoteText"/>
              <w:ind w:left="360"/>
              <w:rPr>
                <w:rFonts w:ascii="Times New Roman" w:hAnsi="Times New Roman"/>
                <w:sz w:val="18"/>
              </w:rPr>
            </w:pPr>
          </w:p>
          <w:p w14:paraId="5D71392B" w14:textId="77777777" w:rsidR="00D302DA" w:rsidRPr="007A1A78" w:rsidRDefault="00D302DA" w:rsidP="00EF5FAC">
            <w:pPr>
              <w:pStyle w:val="FootnoteText"/>
              <w:ind w:left="360"/>
              <w:rPr>
                <w:rFonts w:ascii="Times New Roman" w:hAnsi="Times New Roman"/>
                <w:sz w:val="18"/>
              </w:rPr>
            </w:pPr>
            <w:r w:rsidRPr="007A1A78">
              <w:rPr>
                <w:rFonts w:ascii="Times New Roman" w:hAnsi="Times New Roman"/>
                <w:sz w:val="18"/>
              </w:rPr>
              <w:t xml:space="preserve">Director </w:t>
            </w:r>
            <w:r w:rsidRPr="007A1A78">
              <w:rPr>
                <w:rFonts w:ascii="Times New Roman" w:hAnsi="Times New Roman"/>
                <w:i/>
                <w:iCs/>
                <w:sz w:val="18"/>
              </w:rPr>
              <w:t>(3 weeks prior to trip)</w:t>
            </w:r>
          </w:p>
          <w:p w14:paraId="5BAB173D" w14:textId="77777777" w:rsidR="00D302DA" w:rsidRPr="007A1A78" w:rsidRDefault="00D302DA" w:rsidP="00EF5FAC">
            <w:pPr>
              <w:ind w:left="360"/>
              <w:rPr>
                <w:iCs/>
                <w:sz w:val="18"/>
              </w:rPr>
            </w:pPr>
          </w:p>
          <w:p w14:paraId="4DA75939" w14:textId="77777777" w:rsidR="00D302DA" w:rsidRPr="007A1A78" w:rsidRDefault="00D302DA" w:rsidP="00EF5FAC">
            <w:pPr>
              <w:ind w:left="360"/>
              <w:rPr>
                <w:sz w:val="18"/>
              </w:rPr>
            </w:pPr>
            <w:r w:rsidRPr="007A1A78">
              <w:rPr>
                <w:sz w:val="18"/>
              </w:rPr>
              <w:t>Director</w:t>
            </w:r>
            <w:r w:rsidR="00D12C96">
              <w:rPr>
                <w:sz w:val="18"/>
              </w:rPr>
              <w:t xml:space="preserve"> and Associate Director for Finance and Administration (export controls compliance)</w:t>
            </w:r>
          </w:p>
          <w:p w14:paraId="2816C649" w14:textId="77777777" w:rsidR="00F76CB4" w:rsidRDefault="00F76CB4" w:rsidP="00EF5FAC">
            <w:pPr>
              <w:ind w:left="360"/>
              <w:rPr>
                <w:sz w:val="18"/>
              </w:rPr>
            </w:pPr>
          </w:p>
          <w:p w14:paraId="0CC1AB8D" w14:textId="77777777" w:rsidR="00D302DA" w:rsidRPr="007A1A78" w:rsidRDefault="00D302DA" w:rsidP="00EF5FAC">
            <w:pPr>
              <w:ind w:left="360"/>
              <w:rPr>
                <w:sz w:val="18"/>
              </w:rPr>
            </w:pPr>
            <w:r w:rsidRPr="007A1A78">
              <w:rPr>
                <w:sz w:val="18"/>
              </w:rPr>
              <w:t>Director</w:t>
            </w:r>
          </w:p>
          <w:p w14:paraId="7CDEE934" w14:textId="77777777" w:rsidR="00D302DA" w:rsidRDefault="00D302DA" w:rsidP="00EF5FAC">
            <w:pPr>
              <w:ind w:left="360"/>
              <w:rPr>
                <w:sz w:val="18"/>
              </w:rPr>
            </w:pPr>
          </w:p>
          <w:p w14:paraId="0EA57DCF" w14:textId="77777777" w:rsidR="00D302DA" w:rsidRPr="007A1A78" w:rsidRDefault="00D302DA" w:rsidP="00EF5FAC">
            <w:pPr>
              <w:ind w:left="360"/>
              <w:rPr>
                <w:sz w:val="18"/>
              </w:rPr>
            </w:pPr>
          </w:p>
          <w:p w14:paraId="7DD822DF" w14:textId="77777777" w:rsidR="00D302DA" w:rsidRPr="007A1A78" w:rsidRDefault="00D302DA" w:rsidP="00EF5FAC">
            <w:pPr>
              <w:ind w:left="360"/>
              <w:rPr>
                <w:sz w:val="18"/>
              </w:rPr>
            </w:pPr>
            <w:r w:rsidRPr="007A1A78">
              <w:rPr>
                <w:sz w:val="18"/>
              </w:rPr>
              <w:t>Director</w:t>
            </w:r>
          </w:p>
          <w:p w14:paraId="67BEB973" w14:textId="77777777" w:rsidR="00D302DA" w:rsidRPr="007A1A78" w:rsidRDefault="00D302DA" w:rsidP="00EF5FAC">
            <w:pPr>
              <w:ind w:left="360"/>
              <w:rPr>
                <w:iCs/>
                <w:sz w:val="18"/>
              </w:rPr>
            </w:pPr>
            <w:r w:rsidRPr="007A1A78">
              <w:rPr>
                <w:sz w:val="18"/>
              </w:rPr>
              <w:t>Associate Director</w:t>
            </w:r>
          </w:p>
        </w:tc>
      </w:tr>
    </w:tbl>
    <w:p w14:paraId="3816CEF7" w14:textId="77777777" w:rsidR="00D302DA" w:rsidRDefault="00D302DA" w:rsidP="00D302DA">
      <w:pPr>
        <w:pStyle w:val="BodyTextIndent2"/>
      </w:pPr>
    </w:p>
    <w:p w14:paraId="5E0EB19F" w14:textId="77777777" w:rsidR="00D302DA" w:rsidRPr="00A662EC" w:rsidRDefault="00D302DA" w:rsidP="00D302DA">
      <w:pPr>
        <w:pStyle w:val="BodyTextIndent2"/>
        <w:numPr>
          <w:ilvl w:val="1"/>
          <w:numId w:val="1"/>
        </w:numPr>
        <w:tabs>
          <w:tab w:val="clear" w:pos="1440"/>
        </w:tabs>
        <w:rPr>
          <w:rFonts w:ascii="Times New Roman" w:hAnsi="Times New Roman"/>
        </w:rPr>
      </w:pPr>
      <w:r w:rsidRPr="00A662EC">
        <w:rPr>
          <w:rFonts w:ascii="Times New Roman" w:hAnsi="Times New Roman"/>
        </w:rPr>
        <w:t>Limitations</w:t>
      </w:r>
    </w:p>
    <w:p w14:paraId="74C0FD12" w14:textId="77777777" w:rsidR="00D302DA" w:rsidRPr="00A662EC" w:rsidRDefault="00D302DA" w:rsidP="00D302DA">
      <w:pPr>
        <w:pStyle w:val="BodyTextIndent2"/>
        <w:ind w:left="720"/>
        <w:rPr>
          <w:rFonts w:ascii="Times New Roman" w:hAnsi="Times New Roman"/>
        </w:rPr>
      </w:pPr>
    </w:p>
    <w:p w14:paraId="1F351B80" w14:textId="1B1E346A" w:rsidR="006C4C9A" w:rsidRPr="00C305E0" w:rsidRDefault="00544529" w:rsidP="0079312C">
      <w:pPr>
        <w:pStyle w:val="NoSpacing"/>
        <w:ind w:left="1440"/>
      </w:pPr>
      <w:r>
        <w:t xml:space="preserve">Texas A&amp;M Forest Service </w:t>
      </w:r>
      <w:r w:rsidR="00D302DA" w:rsidRPr="00A662EC">
        <w:t>does not allow out-of-state or foreign travel on funds held in the State Treasury (</w:t>
      </w:r>
      <w:r w:rsidR="00D302DA">
        <w:t>a</w:t>
      </w:r>
      <w:r w:rsidR="00D302DA" w:rsidRPr="00A662EC">
        <w:t xml:space="preserve">ccounts 110000-129999).  Also, foreign travel </w:t>
      </w:r>
      <w:r w:rsidR="007A10FE">
        <w:t>is</w:t>
      </w:r>
      <w:r w:rsidR="007A10FE" w:rsidRPr="00A662EC">
        <w:t xml:space="preserve"> </w:t>
      </w:r>
      <w:r w:rsidR="00D302DA" w:rsidRPr="00A662EC">
        <w:t xml:space="preserve">not authorized, regardless of the funding source, when the destination is to a country </w:t>
      </w:r>
      <w:r w:rsidR="00D446F4">
        <w:t>c</w:t>
      </w:r>
      <w:r w:rsidR="00D446F4" w:rsidRPr="00C305E0">
        <w:t>lassifi</w:t>
      </w:r>
      <w:r w:rsidR="00D446F4" w:rsidRPr="00C305E0">
        <w:rPr>
          <w:spacing w:val="-1"/>
        </w:rPr>
        <w:t>e</w:t>
      </w:r>
      <w:r w:rsidR="00D446F4" w:rsidRPr="00C305E0">
        <w:t>d</w:t>
      </w:r>
      <w:r w:rsidR="00D446F4" w:rsidRPr="00C305E0">
        <w:rPr>
          <w:spacing w:val="31"/>
        </w:rPr>
        <w:t xml:space="preserve"> </w:t>
      </w:r>
      <w:r w:rsidR="00D446F4" w:rsidRPr="00C305E0">
        <w:rPr>
          <w:spacing w:val="-1"/>
        </w:rPr>
        <w:t>a</w:t>
      </w:r>
      <w:r w:rsidR="00D446F4" w:rsidRPr="00C305E0">
        <w:t>s</w:t>
      </w:r>
      <w:r w:rsidR="00D446F4" w:rsidRPr="00C305E0">
        <w:rPr>
          <w:spacing w:val="29"/>
        </w:rPr>
        <w:t xml:space="preserve"> </w:t>
      </w:r>
      <w:r w:rsidR="00D446F4" w:rsidRPr="00C305E0">
        <w:t>‘</w:t>
      </w:r>
      <w:r w:rsidR="00D446F4" w:rsidRPr="00C305E0">
        <w:rPr>
          <w:spacing w:val="-2"/>
        </w:rPr>
        <w:t>e</w:t>
      </w:r>
      <w:r w:rsidR="00D446F4" w:rsidRPr="00C305E0">
        <w:rPr>
          <w:spacing w:val="2"/>
        </w:rPr>
        <w:t>x</w:t>
      </w:r>
      <w:r w:rsidR="00D446F4" w:rsidRPr="00C305E0">
        <w:t>tr</w:t>
      </w:r>
      <w:r w:rsidR="00D446F4" w:rsidRPr="00C305E0">
        <w:rPr>
          <w:spacing w:val="-1"/>
        </w:rPr>
        <w:t>e</w:t>
      </w:r>
      <w:r w:rsidR="00D446F4" w:rsidRPr="00C305E0">
        <w:t>me</w:t>
      </w:r>
      <w:r w:rsidR="00D446F4" w:rsidRPr="00C305E0">
        <w:rPr>
          <w:spacing w:val="28"/>
        </w:rPr>
        <w:t xml:space="preserve"> </w:t>
      </w:r>
      <w:r w:rsidR="00D446F4" w:rsidRPr="00C305E0">
        <w:t xml:space="preserve">risk’ </w:t>
      </w:r>
      <w:r w:rsidR="00D446F4">
        <w:t xml:space="preserve">on the </w:t>
      </w:r>
      <w:r w:rsidR="00D446F4" w:rsidRPr="009D2566">
        <w:t xml:space="preserve">System Risk Management </w:t>
      </w:r>
      <w:hyperlink r:id="rId14" w:history="1">
        <w:r w:rsidR="00D446F4" w:rsidRPr="009D2566">
          <w:rPr>
            <w:rStyle w:val="Hyperlink"/>
          </w:rPr>
          <w:t>International Travel Risk Status</w:t>
        </w:r>
      </w:hyperlink>
      <w:r w:rsidR="00D446F4">
        <w:t xml:space="preserve"> website</w:t>
      </w:r>
      <w:r w:rsidR="002E156B">
        <w:t>.</w:t>
      </w:r>
    </w:p>
    <w:p w14:paraId="2C56A842" w14:textId="77777777" w:rsidR="00D302DA" w:rsidRPr="00A662EC" w:rsidRDefault="00D302DA" w:rsidP="00B960F4">
      <w:pPr>
        <w:pStyle w:val="BodyTextIndent2"/>
        <w:ind w:left="0"/>
        <w:rPr>
          <w:rFonts w:ascii="Times New Roman" w:hAnsi="Times New Roman"/>
        </w:rPr>
      </w:pPr>
    </w:p>
    <w:p w14:paraId="1381A72C" w14:textId="5A5462B7" w:rsidR="00D302DA" w:rsidRPr="00A662EC" w:rsidRDefault="00D302DA" w:rsidP="00917AE3">
      <w:pPr>
        <w:pStyle w:val="BodyTextIndent2"/>
        <w:numPr>
          <w:ilvl w:val="1"/>
          <w:numId w:val="1"/>
        </w:numPr>
        <w:rPr>
          <w:rFonts w:ascii="Times New Roman" w:hAnsi="Times New Roman"/>
        </w:rPr>
      </w:pPr>
      <w:r w:rsidRPr="00A662EC">
        <w:rPr>
          <w:rFonts w:ascii="Times New Roman" w:hAnsi="Times New Roman"/>
        </w:rPr>
        <w:t>Out-of-State Emergency Response</w:t>
      </w:r>
    </w:p>
    <w:p w14:paraId="6FF7097D" w14:textId="77777777" w:rsidR="00D302DA" w:rsidRPr="00A662EC" w:rsidRDefault="00D302DA" w:rsidP="00B960F4">
      <w:pPr>
        <w:pStyle w:val="BodyTextIndent2"/>
        <w:rPr>
          <w:rFonts w:ascii="Times New Roman" w:hAnsi="Times New Roman"/>
        </w:rPr>
      </w:pPr>
    </w:p>
    <w:p w14:paraId="7333FDB0" w14:textId="77777777" w:rsidR="00D302DA" w:rsidRPr="00A662EC" w:rsidRDefault="00D302DA" w:rsidP="00D302DA">
      <w:pPr>
        <w:pStyle w:val="BodyTextIndent2"/>
        <w:ind w:hanging="720"/>
        <w:rPr>
          <w:rFonts w:ascii="Times New Roman" w:hAnsi="Times New Roman"/>
        </w:rPr>
      </w:pPr>
      <w:r w:rsidRPr="00A662EC">
        <w:rPr>
          <w:rFonts w:ascii="Times New Roman" w:hAnsi="Times New Roman"/>
        </w:rPr>
        <w:tab/>
        <w:t>In addition to the above requirements, the following special provisions pertain to out-of-state travel on emergency response.</w:t>
      </w:r>
    </w:p>
    <w:p w14:paraId="2C983DC1" w14:textId="77777777" w:rsidR="00D302DA" w:rsidRPr="00A662EC" w:rsidRDefault="00D302DA" w:rsidP="00B960F4">
      <w:pPr>
        <w:pStyle w:val="BodyTextIndent2"/>
        <w:rPr>
          <w:rFonts w:ascii="Times New Roman" w:hAnsi="Times New Roman"/>
        </w:rPr>
      </w:pPr>
    </w:p>
    <w:p w14:paraId="6785CF7B" w14:textId="77777777" w:rsidR="00D302DA" w:rsidRDefault="00D302DA" w:rsidP="00D302DA">
      <w:pPr>
        <w:pStyle w:val="BodyTextIndent2"/>
        <w:ind w:left="2160" w:hanging="720"/>
        <w:rPr>
          <w:rFonts w:ascii="Times New Roman" w:hAnsi="Times New Roman"/>
        </w:rPr>
      </w:pPr>
      <w:r w:rsidRPr="00A662EC">
        <w:rPr>
          <w:rFonts w:ascii="Times New Roman" w:hAnsi="Times New Roman"/>
        </w:rPr>
        <w:t>a.</w:t>
      </w:r>
      <w:r w:rsidRPr="00A662EC">
        <w:rPr>
          <w:rFonts w:ascii="Times New Roman" w:hAnsi="Times New Roman"/>
        </w:rPr>
        <w:tab/>
        <w:t xml:space="preserve">Authorization to mobilize staff to an out-of-state emergency response incident </w:t>
      </w:r>
      <w:r w:rsidR="007A10FE">
        <w:rPr>
          <w:rFonts w:ascii="Times New Roman" w:hAnsi="Times New Roman"/>
        </w:rPr>
        <w:t>is</w:t>
      </w:r>
      <w:r w:rsidRPr="00A662EC">
        <w:rPr>
          <w:rFonts w:ascii="Times New Roman" w:hAnsi="Times New Roman"/>
        </w:rPr>
        <w:t xml:space="preserve"> made by the Associate Director for Resource Protection, upon consultation with the Director.</w:t>
      </w:r>
    </w:p>
    <w:p w14:paraId="13758EA2" w14:textId="77777777" w:rsidR="00D302DA" w:rsidRPr="00A662EC" w:rsidRDefault="00D302DA" w:rsidP="00D302DA">
      <w:pPr>
        <w:pStyle w:val="BodyTextIndent2"/>
        <w:ind w:left="2160" w:hanging="720"/>
        <w:rPr>
          <w:rFonts w:ascii="Times New Roman" w:hAnsi="Times New Roman"/>
        </w:rPr>
      </w:pPr>
    </w:p>
    <w:p w14:paraId="1FED9460" w14:textId="067904F9" w:rsidR="00D302DA" w:rsidRDefault="00D302DA" w:rsidP="00D302DA">
      <w:pPr>
        <w:ind w:left="2160" w:hanging="720"/>
      </w:pPr>
      <w:r w:rsidRPr="00A662EC">
        <w:t>b.</w:t>
      </w:r>
      <w:r w:rsidRPr="00A662EC">
        <w:tab/>
        <w:t xml:space="preserve">Individual staff assignments to out-of-state emergency response incidents </w:t>
      </w:r>
      <w:r w:rsidR="007A10FE">
        <w:t>are</w:t>
      </w:r>
      <w:r w:rsidR="00631BE9" w:rsidRPr="00631BE9">
        <w:t xml:space="preserve"> made </w:t>
      </w:r>
      <w:r w:rsidR="00CF706A">
        <w:t>through TICC</w:t>
      </w:r>
      <w:r w:rsidR="00631BE9" w:rsidRPr="00631BE9">
        <w:t>.</w:t>
      </w:r>
    </w:p>
    <w:p w14:paraId="25E79844" w14:textId="2E4E5DCF" w:rsidR="00D302DA" w:rsidRDefault="00D302DA" w:rsidP="00D302DA"/>
    <w:p w14:paraId="008034E7" w14:textId="77777777" w:rsidR="00217059" w:rsidRDefault="00217059">
      <w:pPr>
        <w:rPr>
          <w:u w:val="single"/>
        </w:rPr>
      </w:pPr>
      <w:r>
        <w:rPr>
          <w:u w:val="single"/>
        </w:rPr>
        <w:br w:type="page"/>
      </w:r>
    </w:p>
    <w:p w14:paraId="40C93D13" w14:textId="70798214" w:rsidR="00D302DA" w:rsidRDefault="00D302DA" w:rsidP="007B76A7">
      <w:pPr>
        <w:numPr>
          <w:ilvl w:val="0"/>
          <w:numId w:val="1"/>
        </w:numPr>
        <w:rPr>
          <w:u w:val="single"/>
        </w:rPr>
      </w:pPr>
      <w:r w:rsidRPr="00EB39DE">
        <w:rPr>
          <w:u w:val="single"/>
        </w:rPr>
        <w:lastRenderedPageBreak/>
        <w:t>T</w:t>
      </w:r>
      <w:r>
        <w:rPr>
          <w:u w:val="single"/>
        </w:rPr>
        <w:t>RAVEL</w:t>
      </w:r>
      <w:r w:rsidRPr="00EB39DE">
        <w:rPr>
          <w:u w:val="single"/>
        </w:rPr>
        <w:t xml:space="preserve"> A</w:t>
      </w:r>
      <w:r>
        <w:rPr>
          <w:u w:val="single"/>
        </w:rPr>
        <w:t>DVANCES</w:t>
      </w:r>
    </w:p>
    <w:p w14:paraId="4563BD4A" w14:textId="77777777" w:rsidR="009062F7" w:rsidRDefault="009062F7" w:rsidP="009062F7">
      <w:pPr>
        <w:ind w:left="720"/>
        <w:rPr>
          <w:u w:val="single"/>
        </w:rPr>
      </w:pPr>
    </w:p>
    <w:p w14:paraId="514B8EEE" w14:textId="7D1B4B21" w:rsidR="009062F7" w:rsidRDefault="009062F7" w:rsidP="009062F7">
      <w:pPr>
        <w:pStyle w:val="ListParagraph"/>
        <w:numPr>
          <w:ilvl w:val="1"/>
          <w:numId w:val="1"/>
        </w:numPr>
      </w:pPr>
      <w:r w:rsidRPr="00A662EC">
        <w:t>Employees should utilize direct billing arrangements or Travel Cards to the maximum extent possible to cover their travel expenses.</w:t>
      </w:r>
    </w:p>
    <w:p w14:paraId="148EB2C8" w14:textId="77777777" w:rsidR="009062F7" w:rsidRPr="00A662EC" w:rsidRDefault="009062F7" w:rsidP="009062F7"/>
    <w:p w14:paraId="5000151F" w14:textId="1CB6A96D" w:rsidR="009062F7" w:rsidRPr="009062F7" w:rsidRDefault="009062F7" w:rsidP="009062F7">
      <w:pPr>
        <w:pStyle w:val="ListParagraph"/>
        <w:numPr>
          <w:ilvl w:val="1"/>
          <w:numId w:val="1"/>
        </w:numPr>
      </w:pPr>
      <w:r w:rsidRPr="00A662EC">
        <w:t xml:space="preserve">When a travel advance is needed, the traveler must complete a Travel Authorization form, obtain approval from appropriate approving authority, and submit it to the </w:t>
      </w:r>
      <w:r>
        <w:t>accounts payable office</w:t>
      </w:r>
      <w:r w:rsidRPr="00A662EC">
        <w:t xml:space="preserve">.  </w:t>
      </w:r>
      <w:r w:rsidRPr="009062F7">
        <w:rPr>
          <w:i/>
          <w:iCs/>
        </w:rPr>
        <w:t>[Note:  The approved Travel Authorization form must be received at least 7 days prior to the travel to ensure that the advance is issued in time.]</w:t>
      </w:r>
    </w:p>
    <w:p w14:paraId="268E7F16" w14:textId="77777777" w:rsidR="009062F7" w:rsidRPr="00A662EC" w:rsidRDefault="009062F7" w:rsidP="009062F7"/>
    <w:p w14:paraId="38768353" w14:textId="32D793FB" w:rsidR="009062F7" w:rsidRPr="009062F7" w:rsidRDefault="009062F7" w:rsidP="009062F7">
      <w:pPr>
        <w:numPr>
          <w:ilvl w:val="1"/>
          <w:numId w:val="1"/>
        </w:numPr>
        <w:rPr>
          <w:u w:val="single"/>
        </w:rPr>
      </w:pPr>
      <w:r w:rsidRPr="00A662EC">
        <w:t xml:space="preserve">Upon review and approval, the </w:t>
      </w:r>
      <w:r>
        <w:t>accounts payable office</w:t>
      </w:r>
      <w:r w:rsidRPr="00A662EC">
        <w:t xml:space="preserve"> will issue a check </w:t>
      </w:r>
      <w:r>
        <w:t xml:space="preserve">or direct deposit </w:t>
      </w:r>
      <w:r w:rsidRPr="00A662EC">
        <w:t xml:space="preserve">to the employee and </w:t>
      </w:r>
      <w:r>
        <w:t>send</w:t>
      </w:r>
      <w:r w:rsidRPr="00A662EC">
        <w:t xml:space="preserve"> a copy of the approved form</w:t>
      </w:r>
      <w:r>
        <w:t xml:space="preserve"> to the appropriate office associate</w:t>
      </w:r>
      <w:r w:rsidRPr="00A662EC">
        <w:t>.</w:t>
      </w:r>
    </w:p>
    <w:p w14:paraId="1354D75B" w14:textId="77777777" w:rsidR="009062F7" w:rsidRPr="009062F7" w:rsidRDefault="009062F7" w:rsidP="009062F7">
      <w:pPr>
        <w:rPr>
          <w:u w:val="single"/>
        </w:rPr>
      </w:pPr>
    </w:p>
    <w:p w14:paraId="1B9A1C21" w14:textId="147239AD" w:rsidR="009062F7" w:rsidRDefault="009062F7" w:rsidP="009062F7">
      <w:pPr>
        <w:numPr>
          <w:ilvl w:val="1"/>
          <w:numId w:val="1"/>
        </w:numPr>
        <w:tabs>
          <w:tab w:val="left" w:pos="2250"/>
        </w:tabs>
      </w:pPr>
      <w:r w:rsidRPr="00A662EC">
        <w:t>Upon completion of the travel, the travel advance must be repaid.  This is accomplished by preparing a Travel Voucher and submitting it through the process described below.  If the travel expenses are less than the travel advance, the employee must return the excess funds.  This is accomplished by including it with their administrative unit’s next bank deposit and coding it to account 019220-1320.</w:t>
      </w:r>
    </w:p>
    <w:p w14:paraId="66E52610" w14:textId="06D9E7A1" w:rsidR="009062F7" w:rsidRPr="00A662EC" w:rsidRDefault="009062F7" w:rsidP="00B960F4">
      <w:pPr>
        <w:tabs>
          <w:tab w:val="left" w:pos="2250"/>
        </w:tabs>
      </w:pPr>
    </w:p>
    <w:p w14:paraId="5B8766AB" w14:textId="3965373D" w:rsidR="00D302DA" w:rsidRPr="00A662EC" w:rsidRDefault="009062F7" w:rsidP="009062F7">
      <w:pPr>
        <w:numPr>
          <w:ilvl w:val="1"/>
          <w:numId w:val="1"/>
        </w:numPr>
      </w:pPr>
      <w:r w:rsidRPr="00A662EC">
        <w:t xml:space="preserve">Travel </w:t>
      </w:r>
      <w:r>
        <w:t>a</w:t>
      </w:r>
      <w:r w:rsidRPr="00A662EC">
        <w:t>dvances must be cleared within 30 days of completion of the travel.  Failure to do so will subject the employee to appropriate corrective actions, including</w:t>
      </w:r>
      <w:r w:rsidR="00481136" w:rsidRPr="00A662EC">
        <w:t>: (</w:t>
      </w:r>
      <w:r w:rsidRPr="00A662EC">
        <w:t xml:space="preserve">a) being placed on payment hold, (b) being prohibited from receiving future advances, (c) disciplinary actions taken </w:t>
      </w:r>
      <w:r w:rsidRPr="00631BE9">
        <w:t xml:space="preserve">by department head or (d) other actions deemed </w:t>
      </w:r>
      <w:r>
        <w:t>appropriate</w:t>
      </w:r>
      <w:r w:rsidRPr="00631BE9">
        <w:t xml:space="preserve"> by the Associate Director for Finance and Administration.</w:t>
      </w:r>
    </w:p>
    <w:p w14:paraId="4FB52AD0" w14:textId="77777777" w:rsidR="00D302DA" w:rsidRPr="00A662EC" w:rsidRDefault="00D302DA" w:rsidP="009062F7"/>
    <w:p w14:paraId="74385DE1" w14:textId="77777777" w:rsidR="00D302DA" w:rsidRPr="00EB39DE" w:rsidRDefault="00D302DA" w:rsidP="00D302DA">
      <w:pPr>
        <w:pStyle w:val="FootnoteText"/>
        <w:numPr>
          <w:ilvl w:val="0"/>
          <w:numId w:val="1"/>
        </w:numPr>
        <w:tabs>
          <w:tab w:val="clear" w:pos="720"/>
        </w:tabs>
        <w:rPr>
          <w:rFonts w:ascii="Times New Roman" w:hAnsi="Times New Roman"/>
          <w:u w:val="single"/>
        </w:rPr>
      </w:pPr>
      <w:r w:rsidRPr="00EB39DE">
        <w:rPr>
          <w:rFonts w:ascii="Times New Roman" w:hAnsi="Times New Roman"/>
          <w:u w:val="single"/>
        </w:rPr>
        <w:t>T</w:t>
      </w:r>
      <w:r>
        <w:rPr>
          <w:rFonts w:ascii="Times New Roman" w:hAnsi="Times New Roman"/>
          <w:u w:val="single"/>
        </w:rPr>
        <w:t>RAVEL</w:t>
      </w:r>
      <w:r w:rsidRPr="00EB39DE">
        <w:rPr>
          <w:rFonts w:ascii="Times New Roman" w:hAnsi="Times New Roman"/>
          <w:u w:val="single"/>
        </w:rPr>
        <w:t xml:space="preserve"> P</w:t>
      </w:r>
      <w:r>
        <w:rPr>
          <w:rFonts w:ascii="Times New Roman" w:hAnsi="Times New Roman"/>
          <w:u w:val="single"/>
        </w:rPr>
        <w:t>AYMENTS</w:t>
      </w:r>
    </w:p>
    <w:p w14:paraId="3176654B" w14:textId="77777777" w:rsidR="00D302DA" w:rsidRPr="00A662EC" w:rsidRDefault="00D302DA" w:rsidP="00D302DA">
      <w:pPr>
        <w:ind w:left="1440" w:hanging="720"/>
      </w:pPr>
    </w:p>
    <w:p w14:paraId="2618BF18" w14:textId="7F344CC6" w:rsidR="00D302DA" w:rsidRPr="00A662EC" w:rsidRDefault="00D302DA" w:rsidP="00D302DA">
      <w:pPr>
        <w:pStyle w:val="BodyTextIndent3"/>
        <w:numPr>
          <w:ilvl w:val="1"/>
          <w:numId w:val="1"/>
        </w:numPr>
        <w:tabs>
          <w:tab w:val="clear" w:pos="1440"/>
        </w:tabs>
        <w:rPr>
          <w:rFonts w:ascii="Times New Roman" w:hAnsi="Times New Roman"/>
        </w:rPr>
      </w:pPr>
      <w:r w:rsidRPr="00A662EC">
        <w:rPr>
          <w:rFonts w:ascii="Times New Roman" w:hAnsi="Times New Roman"/>
        </w:rPr>
        <w:t xml:space="preserve">As soon as possible after a trip but at least monthly, employees should submit </w:t>
      </w:r>
      <w:r>
        <w:rPr>
          <w:rFonts w:ascii="Times New Roman" w:hAnsi="Times New Roman"/>
        </w:rPr>
        <w:t>a</w:t>
      </w:r>
      <w:r w:rsidRPr="00A662EC">
        <w:rPr>
          <w:rFonts w:ascii="Times New Roman" w:hAnsi="Times New Roman"/>
        </w:rPr>
        <w:t xml:space="preserve"> </w:t>
      </w:r>
      <w:hyperlink r:id="rId15" w:history="1">
        <w:r w:rsidRPr="006C747F">
          <w:rPr>
            <w:rStyle w:val="Hyperlink"/>
            <w:rFonts w:ascii="Times New Roman" w:hAnsi="Times New Roman"/>
          </w:rPr>
          <w:t>Travel Voucher</w:t>
        </w:r>
      </w:hyperlink>
      <w:r>
        <w:rPr>
          <w:rFonts w:ascii="Times New Roman" w:hAnsi="Times New Roman"/>
        </w:rPr>
        <w:t xml:space="preserve"> through</w:t>
      </w:r>
      <w:r w:rsidRPr="00A662EC">
        <w:rPr>
          <w:rFonts w:ascii="Times New Roman" w:hAnsi="Times New Roman"/>
        </w:rPr>
        <w:t xml:space="preserve"> the appropriate approving authority to the </w:t>
      </w:r>
      <w:r w:rsidR="007D6968">
        <w:rPr>
          <w:rFonts w:ascii="Times New Roman" w:hAnsi="Times New Roman"/>
        </w:rPr>
        <w:t>a</w:t>
      </w:r>
      <w:r w:rsidRPr="00A662EC">
        <w:rPr>
          <w:rFonts w:ascii="Times New Roman" w:hAnsi="Times New Roman"/>
        </w:rPr>
        <w:t xml:space="preserve">ccounts </w:t>
      </w:r>
      <w:r w:rsidR="007D6968">
        <w:rPr>
          <w:rFonts w:ascii="Times New Roman" w:hAnsi="Times New Roman"/>
        </w:rPr>
        <w:t>p</w:t>
      </w:r>
      <w:r w:rsidRPr="00A662EC">
        <w:rPr>
          <w:rFonts w:ascii="Times New Roman" w:hAnsi="Times New Roman"/>
        </w:rPr>
        <w:t xml:space="preserve">ayable </w:t>
      </w:r>
      <w:r w:rsidR="007D6968">
        <w:rPr>
          <w:rFonts w:ascii="Times New Roman" w:hAnsi="Times New Roman"/>
        </w:rPr>
        <w:t>o</w:t>
      </w:r>
      <w:r w:rsidRPr="00A662EC">
        <w:rPr>
          <w:rFonts w:ascii="Times New Roman" w:hAnsi="Times New Roman"/>
        </w:rPr>
        <w:t>ffice.  If the trip involved a travel advance, the employee must note the amount of advance received on the Travel Voucher.</w:t>
      </w:r>
      <w:r w:rsidR="000C5DD5">
        <w:rPr>
          <w:rFonts w:ascii="Times New Roman" w:hAnsi="Times New Roman"/>
        </w:rPr>
        <w:t xml:space="preserve">  If an employee does not submit a travel voucher within 90 days of the trip end date, the reimbursement will be treated as taxable income to the employee.  The reimbursement will be processed through the payroll system and appropriate taxes will be withheld.</w:t>
      </w:r>
    </w:p>
    <w:p w14:paraId="1E67D52F" w14:textId="77777777" w:rsidR="00D302DA" w:rsidRPr="00A662EC" w:rsidRDefault="00D302DA" w:rsidP="00B960F4"/>
    <w:p w14:paraId="106A4145" w14:textId="33272146" w:rsidR="00D302DA" w:rsidRPr="00A662EC" w:rsidRDefault="00D302DA" w:rsidP="00D302DA">
      <w:pPr>
        <w:numPr>
          <w:ilvl w:val="1"/>
          <w:numId w:val="1"/>
        </w:numPr>
        <w:tabs>
          <w:tab w:val="clear" w:pos="1440"/>
        </w:tabs>
      </w:pPr>
      <w:r w:rsidRPr="00A662EC">
        <w:t>All Travel Vouchers must be supported by required receipts.  For non-routine travel, a copy of the approved Travel Authorization must be attached.</w:t>
      </w:r>
    </w:p>
    <w:p w14:paraId="5756BBB2" w14:textId="77777777" w:rsidR="00D302DA" w:rsidRPr="00A662EC" w:rsidRDefault="00D302DA" w:rsidP="00D302DA"/>
    <w:p w14:paraId="356B8E61" w14:textId="5695909D" w:rsidR="00D302DA" w:rsidRPr="00A662EC" w:rsidRDefault="00D302DA" w:rsidP="00D302DA">
      <w:pPr>
        <w:numPr>
          <w:ilvl w:val="1"/>
          <w:numId w:val="1"/>
        </w:numPr>
        <w:tabs>
          <w:tab w:val="clear" w:pos="1440"/>
        </w:tabs>
      </w:pPr>
      <w:r w:rsidRPr="00A662EC">
        <w:t xml:space="preserve">The </w:t>
      </w:r>
      <w:r w:rsidR="007D6968">
        <w:t>a</w:t>
      </w:r>
      <w:r w:rsidRPr="00A662EC">
        <w:t xml:space="preserve">ccounts </w:t>
      </w:r>
      <w:r w:rsidR="007D6968">
        <w:t>p</w:t>
      </w:r>
      <w:r w:rsidRPr="00A662EC">
        <w:t xml:space="preserve">ayable </w:t>
      </w:r>
      <w:r w:rsidR="007D6968">
        <w:t>o</w:t>
      </w:r>
      <w:r w:rsidRPr="00A662EC">
        <w:t>ffice review</w:t>
      </w:r>
      <w:r w:rsidR="007A10FE">
        <w:t>s</w:t>
      </w:r>
      <w:r w:rsidRPr="00A662EC">
        <w:t xml:space="preserve"> the Travel Voucher for compliance with all applicable travel regulations and process</w:t>
      </w:r>
      <w:r w:rsidR="007A10FE">
        <w:t>es</w:t>
      </w:r>
      <w:r w:rsidRPr="00A662EC">
        <w:t xml:space="preserve"> for payment.  The Travel Voucher preparer </w:t>
      </w:r>
      <w:r w:rsidR="007A10FE">
        <w:t>is</w:t>
      </w:r>
      <w:r w:rsidRPr="00A662EC">
        <w:t xml:space="preserve"> contacted if the Travel Voucher contains instances of noncompliance or other problems.</w:t>
      </w:r>
      <w:r w:rsidR="008566BF">
        <w:t xml:space="preserve">  Any adjustment to the payment amount requires approval, usually by email, from both the employee and the Travel Voucher approver.</w:t>
      </w:r>
    </w:p>
    <w:p w14:paraId="7A41FC98" w14:textId="77777777" w:rsidR="00D302DA" w:rsidRPr="00A662EC" w:rsidRDefault="00D302DA" w:rsidP="00D302DA"/>
    <w:p w14:paraId="50845FDC" w14:textId="605EDE1D" w:rsidR="00D302DA" w:rsidRDefault="00847CD7" w:rsidP="00D302DA">
      <w:pPr>
        <w:numPr>
          <w:ilvl w:val="1"/>
          <w:numId w:val="1"/>
        </w:numPr>
        <w:tabs>
          <w:tab w:val="clear" w:pos="1440"/>
        </w:tabs>
      </w:pPr>
      <w:r>
        <w:lastRenderedPageBreak/>
        <w:t>Travel payment can be made by direct deposit</w:t>
      </w:r>
      <w:r w:rsidR="00B4727D">
        <w:t xml:space="preserve">.  </w:t>
      </w:r>
      <w:r w:rsidR="003F473B">
        <w:t xml:space="preserve">Employees </w:t>
      </w:r>
      <w:r w:rsidR="00EF3426">
        <w:t xml:space="preserve">need to set up an Expense Payment Election in Workday to provide banking information.  </w:t>
      </w:r>
      <w:r>
        <w:t xml:space="preserve">Otherwise, </w:t>
      </w:r>
      <w:r w:rsidR="008566BF">
        <w:t>a</w:t>
      </w:r>
      <w:r w:rsidR="00D302DA" w:rsidRPr="00A662EC">
        <w:t xml:space="preserve"> check </w:t>
      </w:r>
      <w:r w:rsidR="002A4F08">
        <w:t>is</w:t>
      </w:r>
      <w:r w:rsidR="00D302DA" w:rsidRPr="00A662EC">
        <w:t xml:space="preserve"> mailed to the address listed on the Travel Voucher and on screen 203 in FAMIS.  Travel checks </w:t>
      </w:r>
      <w:r w:rsidR="002A4F08">
        <w:t>are</w:t>
      </w:r>
      <w:r w:rsidR="00D302DA" w:rsidRPr="00A662EC">
        <w:t xml:space="preserve"> held for any employee with a delinquent travel advance or other debt to </w:t>
      </w:r>
      <w:r w:rsidR="00544529">
        <w:t>the agency</w:t>
      </w:r>
      <w:r w:rsidR="008566BF">
        <w:t>,</w:t>
      </w:r>
      <w:r w:rsidR="00D302DA" w:rsidRPr="00A662EC">
        <w:t xml:space="preserve"> and the employee will be notified of such.</w:t>
      </w:r>
    </w:p>
    <w:p w14:paraId="2246639E" w14:textId="77777777" w:rsidR="00785727" w:rsidRPr="00A662EC" w:rsidRDefault="00785727" w:rsidP="00B960F4"/>
    <w:p w14:paraId="1A905265" w14:textId="6FED87C3" w:rsidR="00D302DA" w:rsidRDefault="00D302DA" w:rsidP="00D302DA">
      <w:pPr>
        <w:numPr>
          <w:ilvl w:val="0"/>
          <w:numId w:val="1"/>
        </w:numPr>
        <w:tabs>
          <w:tab w:val="clear" w:pos="720"/>
        </w:tabs>
        <w:rPr>
          <w:u w:val="single"/>
        </w:rPr>
      </w:pPr>
      <w:r w:rsidRPr="00EB39DE">
        <w:rPr>
          <w:u w:val="single"/>
        </w:rPr>
        <w:t>A</w:t>
      </w:r>
      <w:r>
        <w:rPr>
          <w:u w:val="single"/>
        </w:rPr>
        <w:t>LLOWABLE</w:t>
      </w:r>
      <w:r w:rsidRPr="00EB39DE">
        <w:rPr>
          <w:u w:val="single"/>
        </w:rPr>
        <w:t xml:space="preserve"> E</w:t>
      </w:r>
      <w:r>
        <w:rPr>
          <w:u w:val="single"/>
        </w:rPr>
        <w:t>XPENSES</w:t>
      </w:r>
      <w:r w:rsidRPr="00EB39DE">
        <w:rPr>
          <w:u w:val="single"/>
        </w:rPr>
        <w:t xml:space="preserve"> </w:t>
      </w:r>
      <w:r>
        <w:rPr>
          <w:u w:val="single"/>
        </w:rPr>
        <w:t>FROM</w:t>
      </w:r>
      <w:r w:rsidRPr="00EB39DE">
        <w:rPr>
          <w:u w:val="single"/>
        </w:rPr>
        <w:t xml:space="preserve"> A</w:t>
      </w:r>
      <w:r>
        <w:rPr>
          <w:u w:val="single"/>
        </w:rPr>
        <w:t>PPROPRIATED</w:t>
      </w:r>
      <w:r w:rsidRPr="00EB39DE">
        <w:rPr>
          <w:u w:val="single"/>
        </w:rPr>
        <w:t xml:space="preserve"> F</w:t>
      </w:r>
      <w:r>
        <w:rPr>
          <w:u w:val="single"/>
        </w:rPr>
        <w:t>UNDS</w:t>
      </w:r>
      <w:r w:rsidRPr="00EB39DE">
        <w:rPr>
          <w:u w:val="single"/>
        </w:rPr>
        <w:t xml:space="preserve"> (A</w:t>
      </w:r>
      <w:r>
        <w:rPr>
          <w:u w:val="single"/>
        </w:rPr>
        <w:t>CCOUNTS</w:t>
      </w:r>
      <w:r w:rsidRPr="00EB39DE">
        <w:rPr>
          <w:u w:val="single"/>
        </w:rPr>
        <w:t xml:space="preserve"> 100000-199999)</w:t>
      </w:r>
    </w:p>
    <w:p w14:paraId="067E3044" w14:textId="77777777" w:rsidR="009062F7" w:rsidRDefault="009062F7" w:rsidP="009062F7">
      <w:pPr>
        <w:rPr>
          <w:u w:val="single"/>
        </w:rPr>
      </w:pPr>
    </w:p>
    <w:p w14:paraId="77EA3B30" w14:textId="0BF6D499" w:rsidR="009062F7" w:rsidRPr="009062F7" w:rsidRDefault="009062F7" w:rsidP="009062F7">
      <w:pPr>
        <w:numPr>
          <w:ilvl w:val="1"/>
          <w:numId w:val="1"/>
        </w:numPr>
        <w:rPr>
          <w:u w:val="single"/>
        </w:rPr>
      </w:pPr>
      <w:r w:rsidRPr="00A662EC">
        <w:t xml:space="preserve">Payment for travel expenses from Appropriated Funds </w:t>
      </w:r>
      <w:r w:rsidR="004411F1">
        <w:t>is</w:t>
      </w:r>
      <w:r w:rsidRPr="00A662EC">
        <w:t xml:space="preserve"> made in compliance with System Regulation </w:t>
      </w:r>
      <w:r>
        <w:t>21.01.03</w:t>
      </w:r>
      <w:r w:rsidRPr="00A662EC">
        <w:t xml:space="preserve">, the State Travel Management Program and the </w:t>
      </w:r>
      <w:r>
        <w:t>Textravel web pages</w:t>
      </w:r>
      <w:r w:rsidRPr="00A662EC">
        <w:t>.  Nothing in this Administrative Procedure should be interpreted as altering these requirements.</w:t>
      </w:r>
    </w:p>
    <w:p w14:paraId="54983ABB" w14:textId="77777777" w:rsidR="009062F7" w:rsidRPr="009062F7" w:rsidRDefault="009062F7" w:rsidP="00B960F4">
      <w:pPr>
        <w:rPr>
          <w:u w:val="single"/>
        </w:rPr>
      </w:pPr>
    </w:p>
    <w:p w14:paraId="2AB6488F" w14:textId="49A58431" w:rsidR="004A52F4" w:rsidRPr="009062F7" w:rsidRDefault="009062F7" w:rsidP="009062F7">
      <w:pPr>
        <w:numPr>
          <w:ilvl w:val="1"/>
          <w:numId w:val="1"/>
        </w:numPr>
        <w:rPr>
          <w:u w:val="single"/>
        </w:rPr>
      </w:pPr>
      <w:r>
        <w:t>Employees will make every effort to comply with Textravel web pages.  In the event this is not possible, the following is allowed:</w:t>
      </w:r>
    </w:p>
    <w:p w14:paraId="0F7719D0" w14:textId="77777777" w:rsidR="009062F7" w:rsidRDefault="009062F7" w:rsidP="00B960F4"/>
    <w:p w14:paraId="55D967B1" w14:textId="2AED67E8" w:rsidR="0079312C" w:rsidRDefault="0079312C" w:rsidP="00AD2031">
      <w:pPr>
        <w:pStyle w:val="ListParagraph"/>
        <w:numPr>
          <w:ilvl w:val="0"/>
          <w:numId w:val="18"/>
        </w:numPr>
        <w:tabs>
          <w:tab w:val="left" w:pos="2160"/>
        </w:tabs>
      </w:pPr>
      <w:r>
        <w:t xml:space="preserve">The mandatory form of payment for all airline fares is the state-issued corporate travel charge card. See the State Travel Management Program – </w:t>
      </w:r>
      <w:hyperlink r:id="rId16" w:history="1">
        <w:r w:rsidRPr="0079312C">
          <w:rPr>
            <w:rStyle w:val="Hyperlink"/>
          </w:rPr>
          <w:t>Airline Contract</w:t>
        </w:r>
      </w:hyperlink>
      <w:r>
        <w:t>.</w:t>
      </w:r>
    </w:p>
    <w:p w14:paraId="725D3020" w14:textId="77777777" w:rsidR="0079312C" w:rsidRDefault="0079312C" w:rsidP="00AD2031">
      <w:pPr>
        <w:tabs>
          <w:tab w:val="left" w:pos="2160"/>
        </w:tabs>
      </w:pPr>
    </w:p>
    <w:p w14:paraId="6725E87F" w14:textId="769F8283" w:rsidR="009062F7" w:rsidRDefault="009062F7" w:rsidP="00AD2031">
      <w:pPr>
        <w:pStyle w:val="ListParagraph"/>
        <w:numPr>
          <w:ilvl w:val="0"/>
          <w:numId w:val="18"/>
        </w:numPr>
        <w:tabs>
          <w:tab w:val="left" w:pos="2160"/>
        </w:tabs>
      </w:pPr>
      <w:r>
        <w:t>Lodging expenses are reimbursed to employees via the Travel Voucher or may be direct billed to the agency by the lodging establishment,</w:t>
      </w:r>
      <w:r w:rsidRPr="00E4380A">
        <w:t xml:space="preserve"> </w:t>
      </w:r>
      <w:r>
        <w:t xml:space="preserve">or charged to an agency Travel Card (see Administrative Procedure </w:t>
      </w:r>
      <w:hyperlink r:id="rId17" w:history="1">
        <w:r w:rsidRPr="00227DB9">
          <w:rPr>
            <w:rStyle w:val="Hyperlink"/>
          </w:rPr>
          <w:t>30.06</w:t>
        </w:r>
      </w:hyperlink>
      <w:r w:rsidRPr="00227DB9">
        <w:t xml:space="preserve">, </w:t>
      </w:r>
      <w:r w:rsidRPr="000522A0">
        <w:rPr>
          <w:i/>
          <w:iCs/>
        </w:rPr>
        <w:t>Travel Cards</w:t>
      </w:r>
      <w:r w:rsidR="003214C6">
        <w:t xml:space="preserve">).  </w:t>
      </w:r>
      <w:r>
        <w:t xml:space="preserve">Employees may be reimbursed for actual costs of lodging, up to the applicable </w:t>
      </w:r>
      <w:hyperlink r:id="rId18" w:history="1">
        <w:r w:rsidRPr="00C36214">
          <w:rPr>
            <w:rStyle w:val="Hyperlink"/>
          </w:rPr>
          <w:t>Textravel</w:t>
        </w:r>
      </w:hyperlink>
      <w:r w:rsidRPr="0079312C">
        <w:rPr>
          <w:rStyle w:val="Hyperlink"/>
          <w:u w:val="none"/>
        </w:rPr>
        <w:t xml:space="preserve"> </w:t>
      </w:r>
      <w:r w:rsidRPr="0079312C">
        <w:rPr>
          <w:rStyle w:val="Hyperlink"/>
          <w:color w:val="000000" w:themeColor="text1"/>
          <w:u w:val="none"/>
        </w:rPr>
        <w:t>reimbursement rates from appropriated funds (1 account)</w:t>
      </w:r>
      <w:r>
        <w:t>.</w:t>
      </w:r>
      <w:r w:rsidR="00434A55">
        <w:t xml:space="preserve"> </w:t>
      </w:r>
      <w:r>
        <w:t xml:space="preserve"> Any lodging amount exceeding the applicable Textravel reimbursement rates must be paid from non-appropriated funds (2 or 4 account).</w:t>
      </w:r>
    </w:p>
    <w:p w14:paraId="34554939" w14:textId="77777777" w:rsidR="009062F7" w:rsidRDefault="009062F7" w:rsidP="009062F7">
      <w:pPr>
        <w:tabs>
          <w:tab w:val="left" w:pos="2160"/>
        </w:tabs>
        <w:ind w:left="2160" w:hanging="720"/>
      </w:pPr>
    </w:p>
    <w:p w14:paraId="46E6D790" w14:textId="25A99AAC" w:rsidR="009062F7" w:rsidRDefault="0079312C" w:rsidP="009062F7">
      <w:pPr>
        <w:tabs>
          <w:tab w:val="left" w:pos="2160"/>
        </w:tabs>
        <w:ind w:left="2160" w:hanging="720"/>
      </w:pPr>
      <w:r>
        <w:t>c</w:t>
      </w:r>
      <w:r w:rsidR="009062F7">
        <w:t>.</w:t>
      </w:r>
      <w:r w:rsidR="009062F7">
        <w:tab/>
      </w:r>
      <w:r w:rsidR="009062F7" w:rsidRPr="00241849">
        <w:t xml:space="preserve"> </w:t>
      </w:r>
      <w:r w:rsidR="009062F7">
        <w:t xml:space="preserve">If the lodging rate is greater than the </w:t>
      </w:r>
      <w:hyperlink r:id="rId19" w:history="1">
        <w:r w:rsidR="009062F7" w:rsidRPr="00954563">
          <w:rPr>
            <w:rStyle w:val="Hyperlink"/>
          </w:rPr>
          <w:t xml:space="preserve">U.S. General Services Administration </w:t>
        </w:r>
        <w:r w:rsidR="009062F7">
          <w:rPr>
            <w:rStyle w:val="Hyperlink"/>
          </w:rPr>
          <w:t xml:space="preserve">(GSA) </w:t>
        </w:r>
        <w:r w:rsidR="009062F7" w:rsidRPr="00954563">
          <w:rPr>
            <w:rStyle w:val="Hyperlink"/>
          </w:rPr>
          <w:t>per diem rate</w:t>
        </w:r>
      </w:hyperlink>
      <w:r w:rsidR="009062F7">
        <w:t>, written approval by the applicable department head is required.</w:t>
      </w:r>
    </w:p>
    <w:p w14:paraId="20E89092" w14:textId="77777777" w:rsidR="009062F7" w:rsidRDefault="009062F7" w:rsidP="009062F7">
      <w:pPr>
        <w:tabs>
          <w:tab w:val="left" w:pos="2160"/>
        </w:tabs>
        <w:ind w:left="2160" w:hanging="720"/>
      </w:pPr>
    </w:p>
    <w:p w14:paraId="14FF020A" w14:textId="064EE622" w:rsidR="009062F7" w:rsidRDefault="0079312C" w:rsidP="009062F7">
      <w:pPr>
        <w:tabs>
          <w:tab w:val="left" w:pos="2160"/>
        </w:tabs>
        <w:ind w:left="2160" w:hanging="720"/>
      </w:pPr>
      <w:r>
        <w:t>d</w:t>
      </w:r>
      <w:r w:rsidR="009062F7">
        <w:t>.</w:t>
      </w:r>
      <w:r w:rsidR="009062F7">
        <w:tab/>
        <w:t>Exception for Emergency Response:</w:t>
      </w:r>
    </w:p>
    <w:p w14:paraId="15FDFAAC" w14:textId="77777777" w:rsidR="009062F7" w:rsidRDefault="009062F7" w:rsidP="009062F7">
      <w:pPr>
        <w:tabs>
          <w:tab w:val="left" w:pos="2160"/>
        </w:tabs>
        <w:ind w:left="2160" w:hanging="720"/>
      </w:pPr>
    </w:p>
    <w:p w14:paraId="4B86656F" w14:textId="77777777" w:rsidR="009062F7" w:rsidRDefault="009062F7" w:rsidP="009062F7">
      <w:pPr>
        <w:tabs>
          <w:tab w:val="left" w:pos="2160"/>
        </w:tabs>
        <w:ind w:left="2160" w:hanging="720"/>
      </w:pPr>
      <w:r>
        <w:tab/>
        <w:t>An employee deployed for emergency response away from their home office who is unable to obtain lodging at the state rate within reasonable proximity to their temporary duty point (location of deployment) may be reimbursed for lodging above the applicable GSA rate and may charge the full cost to appropriated funds.</w:t>
      </w:r>
    </w:p>
    <w:p w14:paraId="7DEE4211" w14:textId="77777777" w:rsidR="009062F7" w:rsidRDefault="009062F7" w:rsidP="009062F7">
      <w:pPr>
        <w:tabs>
          <w:tab w:val="left" w:pos="2160"/>
        </w:tabs>
        <w:ind w:left="2160" w:hanging="720"/>
      </w:pPr>
    </w:p>
    <w:p w14:paraId="386971D9" w14:textId="01FB6DA2" w:rsidR="009062F7" w:rsidRDefault="009062F7" w:rsidP="009062F7">
      <w:pPr>
        <w:tabs>
          <w:tab w:val="left" w:pos="2160"/>
        </w:tabs>
        <w:ind w:left="2160" w:hanging="720"/>
      </w:pPr>
      <w:r>
        <w:tab/>
        <w:t xml:space="preserve">Payment documentation (travel voucher, direct bill or departmental travel card) submitted to the Budgets and Accounting Department must cite Texas Government Code 660.209 </w:t>
      </w:r>
      <w:r w:rsidR="0079312C">
        <w:t>to indicate the employee was deployed to carry out emergency or disaster response activities and unable to obtain lodging at the state rate within reasonable proximity to their duty point.</w:t>
      </w:r>
    </w:p>
    <w:p w14:paraId="31E4117F" w14:textId="77777777" w:rsidR="009B6DAB" w:rsidRDefault="009B6DAB" w:rsidP="009062F7">
      <w:pPr>
        <w:tabs>
          <w:tab w:val="left" w:pos="2160"/>
        </w:tabs>
        <w:ind w:left="2160" w:hanging="720"/>
      </w:pPr>
    </w:p>
    <w:p w14:paraId="65C12857" w14:textId="6569A941" w:rsidR="009B6DAB" w:rsidRDefault="009B6DAB" w:rsidP="009062F7">
      <w:pPr>
        <w:tabs>
          <w:tab w:val="left" w:pos="2160"/>
        </w:tabs>
        <w:ind w:left="2160" w:hanging="720"/>
        <w:rPr>
          <w:sz w:val="22"/>
          <w:szCs w:val="22"/>
        </w:rPr>
      </w:pPr>
      <w:r>
        <w:lastRenderedPageBreak/>
        <w:tab/>
        <w:t>Written approval by the applicable department head to exceed the GSA rate is not required.</w:t>
      </w:r>
    </w:p>
    <w:p w14:paraId="46050534" w14:textId="77777777" w:rsidR="009062F7" w:rsidRPr="009062F7" w:rsidRDefault="009062F7" w:rsidP="009062F7">
      <w:pPr>
        <w:rPr>
          <w:u w:val="single"/>
        </w:rPr>
      </w:pPr>
    </w:p>
    <w:p w14:paraId="61B29C6E" w14:textId="2ABA5E59" w:rsidR="009062F7" w:rsidRPr="009062F7" w:rsidRDefault="009062F7" w:rsidP="009062F7">
      <w:pPr>
        <w:numPr>
          <w:ilvl w:val="1"/>
          <w:numId w:val="1"/>
        </w:numPr>
        <w:rPr>
          <w:u w:val="single"/>
        </w:rPr>
      </w:pPr>
      <w:r w:rsidRPr="00A662EC">
        <w:t xml:space="preserve">Meal expenses </w:t>
      </w:r>
      <w:r>
        <w:t>are</w:t>
      </w:r>
      <w:r w:rsidRPr="00A662EC">
        <w:t xml:space="preserve"> </w:t>
      </w:r>
      <w:r>
        <w:t>reimbursed</w:t>
      </w:r>
      <w:r w:rsidRPr="00A662EC">
        <w:t xml:space="preserve"> to employees via the Travel Voucher and may not be direct billed to </w:t>
      </w:r>
      <w:r>
        <w:t xml:space="preserve">the agency </w:t>
      </w:r>
      <w:r w:rsidRPr="00A662EC">
        <w:t>by the lodging establishment</w:t>
      </w:r>
      <w:r>
        <w:t>.</w:t>
      </w:r>
    </w:p>
    <w:p w14:paraId="4AC244B6" w14:textId="77777777" w:rsidR="009062F7" w:rsidRPr="009062F7" w:rsidRDefault="009062F7" w:rsidP="009062F7">
      <w:pPr>
        <w:rPr>
          <w:u w:val="single"/>
        </w:rPr>
      </w:pPr>
    </w:p>
    <w:p w14:paraId="606556A8" w14:textId="0799F275" w:rsidR="009062F7" w:rsidRPr="009062F7" w:rsidRDefault="009062F7" w:rsidP="009062F7">
      <w:pPr>
        <w:numPr>
          <w:ilvl w:val="1"/>
          <w:numId w:val="1"/>
        </w:numPr>
        <w:rPr>
          <w:u w:val="single"/>
        </w:rPr>
      </w:pPr>
      <w:r w:rsidRPr="00CD5575">
        <w:rPr>
          <w:color w:val="000000" w:themeColor="text1"/>
        </w:rPr>
        <w:t>Irrespective of permissible reimbursement found in the Textravel or System Regulations, an employee may not be reimbursed for meals when traveling on official business that does not require an overnight stay unless the meal is considered a business meal and is substantiated as such.</w:t>
      </w:r>
    </w:p>
    <w:p w14:paraId="37F72036" w14:textId="77777777" w:rsidR="009062F7" w:rsidRPr="009062F7" w:rsidRDefault="009062F7" w:rsidP="009062F7">
      <w:pPr>
        <w:rPr>
          <w:u w:val="single"/>
        </w:rPr>
      </w:pPr>
    </w:p>
    <w:p w14:paraId="1F833521" w14:textId="35C46D7D" w:rsidR="009062F7" w:rsidRPr="009062F7" w:rsidRDefault="009062F7" w:rsidP="009062F7">
      <w:pPr>
        <w:numPr>
          <w:ilvl w:val="1"/>
          <w:numId w:val="1"/>
        </w:numPr>
        <w:rPr>
          <w:u w:val="single"/>
        </w:rPr>
      </w:pPr>
      <w:r w:rsidRPr="00F478E1">
        <w:t xml:space="preserve">Contract travel vendor exception information </w:t>
      </w:r>
      <w:r w:rsidRPr="00A662EC">
        <w:t xml:space="preserve">must be </w:t>
      </w:r>
      <w:r>
        <w:t>indicated on</w:t>
      </w:r>
      <w:r w:rsidRPr="00A662EC">
        <w:t xml:space="preserve"> the </w:t>
      </w:r>
      <w:r>
        <w:t xml:space="preserve">first page of the </w:t>
      </w:r>
      <w:r w:rsidRPr="00A662EC">
        <w:t xml:space="preserve">Travel Voucher whenever a </w:t>
      </w:r>
      <w:r>
        <w:t>non-</w:t>
      </w:r>
      <w:r w:rsidRPr="00A662EC">
        <w:t xml:space="preserve">contract </w:t>
      </w:r>
      <w:r>
        <w:t xml:space="preserve">travel </w:t>
      </w:r>
      <w:r w:rsidRPr="00A662EC">
        <w:t>vendor was used.  Employees should verify that the exception is allowable before incurring the expense.</w:t>
      </w:r>
    </w:p>
    <w:p w14:paraId="4BA9227C" w14:textId="77777777" w:rsidR="009062F7" w:rsidRPr="009062F7" w:rsidRDefault="009062F7" w:rsidP="009062F7">
      <w:pPr>
        <w:rPr>
          <w:u w:val="single"/>
        </w:rPr>
      </w:pPr>
    </w:p>
    <w:p w14:paraId="0B2F6F10" w14:textId="07A09462" w:rsidR="009062F7" w:rsidRPr="00D44BA8" w:rsidRDefault="00D44BA8" w:rsidP="009062F7">
      <w:pPr>
        <w:numPr>
          <w:ilvl w:val="1"/>
          <w:numId w:val="1"/>
        </w:numPr>
        <w:rPr>
          <w:u w:val="single"/>
        </w:rPr>
      </w:pPr>
      <w:r w:rsidRPr="00A662EC">
        <w:t xml:space="preserve">Employees traveling </w:t>
      </w:r>
      <w:r>
        <w:t xml:space="preserve">in-state </w:t>
      </w:r>
      <w:r w:rsidRPr="00A662EC">
        <w:t xml:space="preserve">with or on behalf of the Director may be authorized for </w:t>
      </w:r>
      <w:r>
        <w:t>“</w:t>
      </w:r>
      <w:r w:rsidRPr="00A662EC">
        <w:t>actual cost</w:t>
      </w:r>
      <w:r>
        <w:t>”</w:t>
      </w:r>
      <w:r w:rsidRPr="00A662EC">
        <w:t xml:space="preserve"> reimbursement.  Prior written approval from the Director is required. </w:t>
      </w:r>
      <w:r>
        <w:t xml:space="preserve"> </w:t>
      </w:r>
      <w:r>
        <w:rPr>
          <w:i/>
        </w:rPr>
        <w:t>[Note</w:t>
      </w:r>
      <w:r w:rsidR="00481136">
        <w:rPr>
          <w:i/>
        </w:rPr>
        <w:t>: “</w:t>
      </w:r>
      <w:r>
        <w:rPr>
          <w:i/>
        </w:rPr>
        <w:t>Actual cost” reimbursement is defined by the General Appropriations Act as not more than twice the regular maximum rates.]</w:t>
      </w:r>
    </w:p>
    <w:p w14:paraId="6D86B45F" w14:textId="77777777" w:rsidR="00D44BA8" w:rsidRPr="00D44BA8" w:rsidRDefault="00D44BA8" w:rsidP="00D44BA8">
      <w:pPr>
        <w:rPr>
          <w:u w:val="single"/>
        </w:rPr>
      </w:pPr>
    </w:p>
    <w:p w14:paraId="03CCB77F" w14:textId="495CA38E" w:rsidR="0024538F" w:rsidRPr="00D44BA8" w:rsidRDefault="00D44BA8" w:rsidP="00D44BA8">
      <w:pPr>
        <w:numPr>
          <w:ilvl w:val="1"/>
          <w:numId w:val="1"/>
        </w:numPr>
        <w:rPr>
          <w:u w:val="single"/>
        </w:rPr>
      </w:pPr>
      <w:r>
        <w:t>Employees are reimbursed for only allowable and reasonable expenses incurred for official business.</w:t>
      </w:r>
    </w:p>
    <w:p w14:paraId="5FA84286" w14:textId="77777777" w:rsidR="00C34667" w:rsidRDefault="00C34667" w:rsidP="00D44BA8"/>
    <w:p w14:paraId="550D0225" w14:textId="172B20BF" w:rsidR="0024538F" w:rsidRDefault="00D302DA" w:rsidP="00D44BA8">
      <w:pPr>
        <w:pStyle w:val="NormalWeb"/>
        <w:numPr>
          <w:ilvl w:val="0"/>
          <w:numId w:val="1"/>
        </w:numPr>
        <w:tabs>
          <w:tab w:val="clear" w:pos="720"/>
        </w:tabs>
        <w:spacing w:before="0" w:beforeAutospacing="0" w:after="0" w:afterAutospacing="0"/>
        <w:rPr>
          <w:color w:val="auto"/>
          <w:u w:val="single"/>
        </w:rPr>
      </w:pPr>
      <w:r w:rsidRPr="00EB39DE">
        <w:rPr>
          <w:color w:val="auto"/>
          <w:u w:val="single"/>
        </w:rPr>
        <w:t>A</w:t>
      </w:r>
      <w:r>
        <w:rPr>
          <w:color w:val="auto"/>
          <w:u w:val="single"/>
        </w:rPr>
        <w:t>LLOWABLE</w:t>
      </w:r>
      <w:r w:rsidRPr="00EB39DE">
        <w:rPr>
          <w:color w:val="auto"/>
          <w:u w:val="single"/>
        </w:rPr>
        <w:t xml:space="preserve"> E</w:t>
      </w:r>
      <w:r>
        <w:rPr>
          <w:color w:val="auto"/>
          <w:u w:val="single"/>
        </w:rPr>
        <w:t>XPENSES</w:t>
      </w:r>
      <w:r w:rsidRPr="00EB39DE">
        <w:rPr>
          <w:color w:val="auto"/>
          <w:u w:val="single"/>
        </w:rPr>
        <w:t xml:space="preserve"> </w:t>
      </w:r>
      <w:r>
        <w:rPr>
          <w:color w:val="auto"/>
          <w:u w:val="single"/>
        </w:rPr>
        <w:t>FROM</w:t>
      </w:r>
      <w:r w:rsidRPr="00EB39DE">
        <w:rPr>
          <w:color w:val="auto"/>
          <w:u w:val="single"/>
        </w:rPr>
        <w:t xml:space="preserve"> N</w:t>
      </w:r>
      <w:r>
        <w:rPr>
          <w:color w:val="auto"/>
          <w:u w:val="single"/>
        </w:rPr>
        <w:t>ON</w:t>
      </w:r>
      <w:r w:rsidRPr="00EB39DE">
        <w:rPr>
          <w:color w:val="auto"/>
          <w:u w:val="single"/>
        </w:rPr>
        <w:t>-A</w:t>
      </w:r>
      <w:r>
        <w:rPr>
          <w:color w:val="auto"/>
          <w:u w:val="single"/>
        </w:rPr>
        <w:t>PPROPRIATED</w:t>
      </w:r>
      <w:r w:rsidRPr="00EB39DE">
        <w:rPr>
          <w:color w:val="auto"/>
          <w:u w:val="single"/>
        </w:rPr>
        <w:t xml:space="preserve"> F</w:t>
      </w:r>
      <w:r>
        <w:rPr>
          <w:color w:val="auto"/>
          <w:u w:val="single"/>
        </w:rPr>
        <w:t>UNDS</w:t>
      </w:r>
      <w:r w:rsidRPr="00EB39DE">
        <w:rPr>
          <w:color w:val="auto"/>
          <w:u w:val="single"/>
        </w:rPr>
        <w:t xml:space="preserve"> (A</w:t>
      </w:r>
      <w:r>
        <w:rPr>
          <w:color w:val="auto"/>
          <w:u w:val="single"/>
        </w:rPr>
        <w:t>CCOUNTS</w:t>
      </w:r>
      <w:r w:rsidRPr="00EB39DE">
        <w:rPr>
          <w:color w:val="auto"/>
          <w:u w:val="single"/>
        </w:rPr>
        <w:t xml:space="preserve"> 200000-899999)</w:t>
      </w:r>
    </w:p>
    <w:p w14:paraId="6C9404D8" w14:textId="77777777" w:rsidR="00D44BA8" w:rsidRDefault="00D44BA8" w:rsidP="00D44BA8">
      <w:pPr>
        <w:pStyle w:val="NormalWeb"/>
        <w:spacing w:before="0" w:beforeAutospacing="0" w:after="0" w:afterAutospacing="0"/>
        <w:rPr>
          <w:color w:val="auto"/>
          <w:u w:val="single"/>
        </w:rPr>
      </w:pPr>
    </w:p>
    <w:p w14:paraId="1263BBDF" w14:textId="4C355FD9" w:rsidR="00D44BA8" w:rsidRPr="00D44BA8" w:rsidRDefault="00D44BA8" w:rsidP="00D44BA8">
      <w:pPr>
        <w:pStyle w:val="NormalWeb"/>
        <w:numPr>
          <w:ilvl w:val="1"/>
          <w:numId w:val="1"/>
        </w:numPr>
        <w:spacing w:before="0" w:beforeAutospacing="0" w:after="0" w:afterAutospacing="0"/>
        <w:rPr>
          <w:color w:val="auto"/>
          <w:u w:val="single"/>
        </w:rPr>
      </w:pPr>
      <w:r>
        <w:rPr>
          <w:color w:val="auto"/>
        </w:rPr>
        <w:t>Agency</w:t>
      </w:r>
      <w:r w:rsidRPr="00A662EC">
        <w:rPr>
          <w:color w:val="auto"/>
        </w:rPr>
        <w:t xml:space="preserve"> programs and departments are not required to use the State Travel Management Program when using </w:t>
      </w:r>
      <w:r>
        <w:rPr>
          <w:color w:val="auto"/>
        </w:rPr>
        <w:t>n</w:t>
      </w:r>
      <w:r w:rsidRPr="00A662EC">
        <w:rPr>
          <w:color w:val="auto"/>
        </w:rPr>
        <w:t>on-</w:t>
      </w:r>
      <w:r>
        <w:rPr>
          <w:color w:val="auto"/>
        </w:rPr>
        <w:t>a</w:t>
      </w:r>
      <w:r w:rsidRPr="00A662EC">
        <w:rPr>
          <w:color w:val="auto"/>
        </w:rPr>
        <w:t xml:space="preserve">ppropriated </w:t>
      </w:r>
      <w:r>
        <w:rPr>
          <w:color w:val="auto"/>
        </w:rPr>
        <w:t>f</w:t>
      </w:r>
      <w:r w:rsidRPr="00A662EC">
        <w:rPr>
          <w:color w:val="auto"/>
        </w:rPr>
        <w:t>unds to pay travel expenses.</w:t>
      </w:r>
    </w:p>
    <w:p w14:paraId="36AADB4E" w14:textId="77777777" w:rsidR="00D44BA8" w:rsidRPr="00D44BA8" w:rsidRDefault="00D44BA8" w:rsidP="00D44BA8">
      <w:pPr>
        <w:pStyle w:val="NormalWeb"/>
        <w:spacing w:before="0" w:beforeAutospacing="0" w:after="0" w:afterAutospacing="0"/>
        <w:rPr>
          <w:color w:val="auto"/>
          <w:u w:val="single"/>
        </w:rPr>
      </w:pPr>
    </w:p>
    <w:p w14:paraId="41289052" w14:textId="2CEE1250" w:rsidR="00D44BA8" w:rsidRPr="00D44BA8" w:rsidRDefault="00D44BA8" w:rsidP="00D44BA8">
      <w:pPr>
        <w:pStyle w:val="NormalWeb"/>
        <w:numPr>
          <w:ilvl w:val="1"/>
          <w:numId w:val="1"/>
        </w:numPr>
        <w:spacing w:before="0" w:beforeAutospacing="0" w:after="0" w:afterAutospacing="0"/>
        <w:rPr>
          <w:color w:val="auto"/>
          <w:u w:val="single"/>
        </w:rPr>
      </w:pPr>
      <w:r w:rsidRPr="00A662EC">
        <w:rPr>
          <w:color w:val="auto"/>
        </w:rPr>
        <w:t xml:space="preserve">Employees will make every effort to comply with the </w:t>
      </w:r>
      <w:r>
        <w:rPr>
          <w:color w:val="auto"/>
        </w:rPr>
        <w:t>Textravel web pages</w:t>
      </w:r>
      <w:r w:rsidRPr="00A662EC">
        <w:rPr>
          <w:color w:val="auto"/>
        </w:rPr>
        <w:t xml:space="preserve">.  In the event that this is not possible, the following </w:t>
      </w:r>
      <w:r>
        <w:rPr>
          <w:color w:val="auto"/>
        </w:rPr>
        <w:t>is</w:t>
      </w:r>
      <w:r w:rsidRPr="00A662EC">
        <w:rPr>
          <w:color w:val="auto"/>
        </w:rPr>
        <w:t xml:space="preserve"> allowed:</w:t>
      </w:r>
    </w:p>
    <w:p w14:paraId="7EE9E640" w14:textId="77777777" w:rsidR="00D44BA8" w:rsidRDefault="00D44BA8" w:rsidP="00D44BA8">
      <w:pPr>
        <w:pStyle w:val="NormalWeb"/>
        <w:spacing w:before="0" w:beforeAutospacing="0" w:after="0" w:afterAutospacing="0"/>
        <w:ind w:left="2160" w:hanging="720"/>
        <w:rPr>
          <w:color w:val="auto"/>
        </w:rPr>
      </w:pPr>
    </w:p>
    <w:p w14:paraId="6E33302A" w14:textId="5A3B2889" w:rsidR="00D44BA8" w:rsidRPr="00241849" w:rsidRDefault="00D44BA8" w:rsidP="00D44BA8">
      <w:pPr>
        <w:pStyle w:val="NormalWeb"/>
        <w:numPr>
          <w:ilvl w:val="0"/>
          <w:numId w:val="6"/>
        </w:numPr>
        <w:spacing w:before="0" w:beforeAutospacing="0" w:after="0" w:afterAutospacing="0"/>
        <w:rPr>
          <w:color w:val="auto"/>
        </w:rPr>
      </w:pPr>
      <w:r w:rsidRPr="00F478E1">
        <w:rPr>
          <w:color w:val="auto"/>
        </w:rPr>
        <w:t xml:space="preserve">Lodging expenses are reimbursed to employees via the Travel Voucher or may be direct billed to </w:t>
      </w:r>
      <w:r>
        <w:rPr>
          <w:color w:val="auto"/>
        </w:rPr>
        <w:t>the agency</w:t>
      </w:r>
      <w:r w:rsidRPr="00F478E1">
        <w:rPr>
          <w:color w:val="auto"/>
        </w:rPr>
        <w:t xml:space="preserve"> by the lodging establishment</w:t>
      </w:r>
      <w:r w:rsidRPr="00FE0CBF">
        <w:rPr>
          <w:color w:val="auto"/>
        </w:rPr>
        <w:t>, or charged to an agency Travel Card (see Administrative Procedure</w:t>
      </w:r>
      <w:r>
        <w:t xml:space="preserve"> </w:t>
      </w:r>
      <w:hyperlink r:id="rId20" w:history="1">
        <w:r w:rsidRPr="00227DB9">
          <w:rPr>
            <w:rStyle w:val="Hyperlink"/>
          </w:rPr>
          <w:t>30.06</w:t>
        </w:r>
      </w:hyperlink>
      <w:r w:rsidRPr="00227DB9">
        <w:t xml:space="preserve">, </w:t>
      </w:r>
      <w:r w:rsidRPr="000522A0">
        <w:rPr>
          <w:i/>
          <w:iCs/>
        </w:rPr>
        <w:t>Travel Cards</w:t>
      </w:r>
      <w:r>
        <w:t>).</w:t>
      </w:r>
      <w:r w:rsidRPr="00F478E1">
        <w:rPr>
          <w:color w:val="auto"/>
        </w:rPr>
        <w:t xml:space="preserve">  </w:t>
      </w:r>
      <w:r w:rsidRPr="00241849">
        <w:rPr>
          <w:color w:val="auto"/>
        </w:rPr>
        <w:t xml:space="preserve">Employees may be reimbursed for actual costs of lodging, up to the applicable </w:t>
      </w:r>
      <w:r w:rsidRPr="00F478E1">
        <w:rPr>
          <w:color w:val="auto"/>
        </w:rPr>
        <w:t>GSA rate</w:t>
      </w:r>
      <w:r w:rsidRPr="00241849">
        <w:rPr>
          <w:color w:val="auto"/>
        </w:rPr>
        <w:t>.</w:t>
      </w:r>
    </w:p>
    <w:p w14:paraId="3CCBB278" w14:textId="77777777" w:rsidR="00D44BA8" w:rsidRDefault="00D44BA8" w:rsidP="000A578F">
      <w:pPr>
        <w:pStyle w:val="NormalWeb"/>
        <w:spacing w:before="0" w:beforeAutospacing="0" w:after="0" w:afterAutospacing="0"/>
        <w:ind w:left="1440"/>
        <w:rPr>
          <w:color w:val="auto"/>
        </w:rPr>
      </w:pPr>
    </w:p>
    <w:p w14:paraId="6D8A7F21" w14:textId="31EF9122" w:rsidR="00D44BA8" w:rsidRDefault="00D44BA8" w:rsidP="00D44BA8">
      <w:pPr>
        <w:pStyle w:val="NormalWeb"/>
        <w:numPr>
          <w:ilvl w:val="0"/>
          <w:numId w:val="6"/>
        </w:numPr>
        <w:spacing w:before="0" w:beforeAutospacing="0" w:after="0" w:afterAutospacing="0"/>
        <w:rPr>
          <w:color w:val="auto"/>
        </w:rPr>
      </w:pPr>
      <w:r w:rsidRPr="00241849">
        <w:rPr>
          <w:color w:val="auto"/>
        </w:rPr>
        <w:t xml:space="preserve">If the lodging rate is greater than </w:t>
      </w:r>
      <w:r w:rsidRPr="00842963">
        <w:rPr>
          <w:color w:val="auto"/>
        </w:rPr>
        <w:t xml:space="preserve">the GSA rate, written approval by the applicable </w:t>
      </w:r>
      <w:r>
        <w:rPr>
          <w:color w:val="auto"/>
        </w:rPr>
        <w:t xml:space="preserve">department head </w:t>
      </w:r>
      <w:r w:rsidRPr="00842963">
        <w:rPr>
          <w:color w:val="auto"/>
        </w:rPr>
        <w:t>is required.</w:t>
      </w:r>
    </w:p>
    <w:p w14:paraId="753C1783" w14:textId="77777777" w:rsidR="00D44BA8" w:rsidRDefault="00D44BA8" w:rsidP="00D44BA8">
      <w:pPr>
        <w:pStyle w:val="NormalWeb"/>
        <w:spacing w:before="0" w:beforeAutospacing="0" w:after="0" w:afterAutospacing="0"/>
        <w:ind w:left="2160" w:hanging="720"/>
        <w:rPr>
          <w:color w:val="auto"/>
        </w:rPr>
      </w:pPr>
    </w:p>
    <w:p w14:paraId="1D5EE69E" w14:textId="359B4ABA" w:rsidR="00D44BA8" w:rsidRDefault="00D44BA8" w:rsidP="00DF4733">
      <w:pPr>
        <w:pStyle w:val="NormalWeb"/>
        <w:numPr>
          <w:ilvl w:val="0"/>
          <w:numId w:val="6"/>
        </w:numPr>
        <w:spacing w:before="0" w:beforeAutospacing="0" w:after="0" w:afterAutospacing="0"/>
        <w:rPr>
          <w:color w:val="auto"/>
        </w:rPr>
      </w:pPr>
      <w:r w:rsidRPr="00631BE9">
        <w:rPr>
          <w:color w:val="auto"/>
        </w:rPr>
        <w:t>A supervisor, department head or associate</w:t>
      </w:r>
      <w:r w:rsidRPr="00A662EC">
        <w:rPr>
          <w:color w:val="auto"/>
        </w:rPr>
        <w:t xml:space="preserve"> director may determine if it is appropriate or necessary to send more than one employee to the same event, meeting, seminar, conference or other travel destination.</w:t>
      </w:r>
    </w:p>
    <w:p w14:paraId="5055ECFB" w14:textId="77777777" w:rsidR="00A31753" w:rsidRDefault="00A31753" w:rsidP="00DF4733">
      <w:pPr>
        <w:pStyle w:val="ListParagraph"/>
      </w:pPr>
    </w:p>
    <w:p w14:paraId="10D25D1A" w14:textId="3B507C90" w:rsidR="00A31753" w:rsidRDefault="00A31753" w:rsidP="003669C0">
      <w:pPr>
        <w:pStyle w:val="NormalWeb"/>
        <w:numPr>
          <w:ilvl w:val="0"/>
          <w:numId w:val="6"/>
        </w:numPr>
        <w:spacing w:before="0" w:beforeAutospacing="0" w:after="0" w:afterAutospacing="0"/>
        <w:rPr>
          <w:color w:val="auto"/>
        </w:rPr>
      </w:pPr>
      <w:r>
        <w:rPr>
          <w:color w:val="auto"/>
        </w:rPr>
        <w:t>Exception for Emergency Response:</w:t>
      </w:r>
    </w:p>
    <w:p w14:paraId="0788B41B" w14:textId="77777777" w:rsidR="009D3E6C" w:rsidRDefault="009D3E6C" w:rsidP="00DF4733">
      <w:pPr>
        <w:pStyle w:val="ListParagraph"/>
      </w:pPr>
    </w:p>
    <w:p w14:paraId="6FD20D96" w14:textId="2DA92061" w:rsidR="009D3E6C" w:rsidRDefault="009D3E6C" w:rsidP="009D3E6C">
      <w:pPr>
        <w:tabs>
          <w:tab w:val="left" w:pos="2160"/>
        </w:tabs>
        <w:ind w:left="2160" w:hanging="720"/>
      </w:pPr>
      <w:r>
        <w:lastRenderedPageBreak/>
        <w:tab/>
        <w:t>An employee deployed for emergency response away from their home office who is unable to obtain lodging at the state rate within reasonable proximity to their temporary duty point (location of deployment) may be reimbursed for lodging above the applicable GSA rate and may charge the full cost to non-appropriated funds.</w:t>
      </w:r>
    </w:p>
    <w:p w14:paraId="68601439" w14:textId="77777777" w:rsidR="009D3E6C" w:rsidRDefault="009D3E6C" w:rsidP="009D3E6C">
      <w:pPr>
        <w:tabs>
          <w:tab w:val="left" w:pos="2160"/>
        </w:tabs>
        <w:ind w:left="2160" w:hanging="720"/>
      </w:pPr>
    </w:p>
    <w:p w14:paraId="48F4BBBA" w14:textId="218E8FDF" w:rsidR="009D3E6C" w:rsidRDefault="009D3E6C" w:rsidP="009D3E6C">
      <w:pPr>
        <w:tabs>
          <w:tab w:val="left" w:pos="2160"/>
        </w:tabs>
        <w:ind w:left="2160" w:hanging="720"/>
      </w:pPr>
      <w:r>
        <w:tab/>
        <w:t xml:space="preserve">Payment documentation (travel voucher, direct bill or departmental travel card) submitted to the Budgets and Accounting Department must </w:t>
      </w:r>
      <w:r w:rsidR="009B6DAB">
        <w:t>cite Texas Government Code 660.209 to indicate</w:t>
      </w:r>
      <w:r>
        <w:t xml:space="preserve"> the employee was deployed to carry out emergency or disaster response activities and unable to obtain lodging at the state rate within reasonable proximity to their duty point.</w:t>
      </w:r>
    </w:p>
    <w:p w14:paraId="6ADF6345" w14:textId="77777777" w:rsidR="003D1150" w:rsidRDefault="003D1150" w:rsidP="009D3E6C">
      <w:pPr>
        <w:tabs>
          <w:tab w:val="left" w:pos="2160"/>
        </w:tabs>
        <w:ind w:left="2160" w:hanging="720"/>
      </w:pPr>
    </w:p>
    <w:p w14:paraId="2CEA8E89" w14:textId="6329BF77" w:rsidR="003D1150" w:rsidRPr="00DF4733" w:rsidRDefault="003D1150" w:rsidP="009D3E6C">
      <w:pPr>
        <w:tabs>
          <w:tab w:val="left" w:pos="2160"/>
        </w:tabs>
        <w:ind w:left="2160" w:hanging="720"/>
      </w:pPr>
      <w:r>
        <w:rPr>
          <w:sz w:val="22"/>
          <w:szCs w:val="22"/>
        </w:rPr>
        <w:tab/>
      </w:r>
      <w:r w:rsidRPr="00DF4733">
        <w:t xml:space="preserve">Written approval by the applicable department head </w:t>
      </w:r>
      <w:r w:rsidR="009B6DAB">
        <w:t xml:space="preserve">to exceed the GSA rate </w:t>
      </w:r>
      <w:r w:rsidRPr="00DF4733">
        <w:t>is not required</w:t>
      </w:r>
      <w:r>
        <w:t>.</w:t>
      </w:r>
      <w:r w:rsidRPr="00DF4733">
        <w:t xml:space="preserve"> </w:t>
      </w:r>
    </w:p>
    <w:p w14:paraId="44415B0F" w14:textId="77777777" w:rsidR="00D44BA8" w:rsidRPr="00D44BA8" w:rsidRDefault="00D44BA8" w:rsidP="00D44BA8">
      <w:pPr>
        <w:pStyle w:val="NormalWeb"/>
        <w:spacing w:before="0" w:beforeAutospacing="0" w:after="0" w:afterAutospacing="0"/>
        <w:rPr>
          <w:color w:val="auto"/>
          <w:u w:val="single"/>
        </w:rPr>
      </w:pPr>
    </w:p>
    <w:p w14:paraId="5EA7D39E" w14:textId="2F852146" w:rsidR="0024538F" w:rsidRPr="00D44BA8" w:rsidRDefault="00D44BA8" w:rsidP="00D44BA8">
      <w:pPr>
        <w:pStyle w:val="NormalWeb"/>
        <w:numPr>
          <w:ilvl w:val="1"/>
          <w:numId w:val="1"/>
        </w:numPr>
        <w:spacing w:before="0" w:beforeAutospacing="0" w:after="0" w:afterAutospacing="0"/>
        <w:rPr>
          <w:color w:val="auto"/>
          <w:u w:val="single"/>
        </w:rPr>
      </w:pPr>
      <w:r w:rsidRPr="00A662EC">
        <w:rPr>
          <w:color w:val="auto"/>
        </w:rPr>
        <w:t xml:space="preserve">Meal expenses </w:t>
      </w:r>
      <w:r>
        <w:rPr>
          <w:color w:val="auto"/>
        </w:rPr>
        <w:t>are</w:t>
      </w:r>
      <w:r w:rsidRPr="00A662EC">
        <w:rPr>
          <w:color w:val="auto"/>
        </w:rPr>
        <w:t xml:space="preserve"> reimbursed to employees via the Travel Voucher and may not be direct billed to </w:t>
      </w:r>
      <w:r>
        <w:rPr>
          <w:color w:val="auto"/>
        </w:rPr>
        <w:t>the agency</w:t>
      </w:r>
      <w:r w:rsidRPr="00A662EC">
        <w:rPr>
          <w:color w:val="auto"/>
        </w:rPr>
        <w:t xml:space="preserve"> by the lodging establishment.</w:t>
      </w:r>
    </w:p>
    <w:p w14:paraId="215A5432" w14:textId="77777777" w:rsidR="00D44BA8" w:rsidRPr="00D44BA8" w:rsidRDefault="00D44BA8" w:rsidP="00D44BA8">
      <w:pPr>
        <w:pStyle w:val="NormalWeb"/>
        <w:spacing w:before="0" w:beforeAutospacing="0" w:after="0" w:afterAutospacing="0"/>
        <w:rPr>
          <w:color w:val="auto"/>
          <w:u w:val="single"/>
        </w:rPr>
      </w:pPr>
    </w:p>
    <w:p w14:paraId="0807D50E" w14:textId="78CB0D93" w:rsidR="00D44BA8" w:rsidRPr="00D44BA8" w:rsidRDefault="00D44BA8" w:rsidP="00D44BA8">
      <w:pPr>
        <w:pStyle w:val="NormalWeb"/>
        <w:numPr>
          <w:ilvl w:val="1"/>
          <w:numId w:val="1"/>
        </w:numPr>
        <w:spacing w:before="0" w:beforeAutospacing="0" w:after="0" w:afterAutospacing="0"/>
        <w:rPr>
          <w:color w:val="auto"/>
          <w:u w:val="single"/>
        </w:rPr>
      </w:pPr>
      <w:r w:rsidRPr="00CD5575">
        <w:rPr>
          <w:color w:val="000000" w:themeColor="text1"/>
        </w:rPr>
        <w:t>Irrespective of permissible reimbursement found in the Textravel or System Regulations, an employee may not be reimbursed for meals when traveling on official business that does not require an overnight stay unless the meal is considered a business meal and is substantiated as such.</w:t>
      </w:r>
    </w:p>
    <w:p w14:paraId="20D4B3CB" w14:textId="77777777" w:rsidR="00D44BA8" w:rsidRPr="00D44BA8" w:rsidRDefault="00D44BA8" w:rsidP="00D44BA8">
      <w:pPr>
        <w:pStyle w:val="NormalWeb"/>
        <w:spacing w:before="0" w:beforeAutospacing="0" w:after="0" w:afterAutospacing="0"/>
        <w:rPr>
          <w:color w:val="auto"/>
          <w:u w:val="single"/>
        </w:rPr>
      </w:pPr>
    </w:p>
    <w:p w14:paraId="25A65301" w14:textId="35A063B0" w:rsidR="00D44BA8" w:rsidRPr="00D44BA8" w:rsidRDefault="00D44BA8" w:rsidP="00D44BA8">
      <w:pPr>
        <w:pStyle w:val="NormalWeb"/>
        <w:numPr>
          <w:ilvl w:val="1"/>
          <w:numId w:val="1"/>
        </w:numPr>
        <w:spacing w:before="0" w:beforeAutospacing="0" w:after="0" w:afterAutospacing="0"/>
        <w:rPr>
          <w:color w:val="auto"/>
          <w:u w:val="single"/>
        </w:rPr>
      </w:pPr>
      <w:r w:rsidRPr="00A662EC">
        <w:t xml:space="preserve">Requests for exceptions to the above must be submitted to the Associate Director </w:t>
      </w:r>
      <w:r w:rsidRPr="00AC6DEC">
        <w:t>for Finance and Administration.  It is recommended that employees obtain approval prior to the trip to ensure that they can be fully reimbursed.</w:t>
      </w:r>
    </w:p>
    <w:p w14:paraId="651D2FBA" w14:textId="77777777" w:rsidR="00D44BA8" w:rsidRPr="00D44BA8" w:rsidRDefault="00D44BA8" w:rsidP="00D44BA8">
      <w:pPr>
        <w:pStyle w:val="NormalWeb"/>
        <w:spacing w:before="0" w:beforeAutospacing="0" w:after="0" w:afterAutospacing="0"/>
        <w:rPr>
          <w:color w:val="auto"/>
          <w:u w:val="single"/>
        </w:rPr>
      </w:pPr>
    </w:p>
    <w:p w14:paraId="5C7CAA5C" w14:textId="7D34E31A" w:rsidR="00D44BA8" w:rsidRPr="00D44BA8" w:rsidRDefault="00D44BA8" w:rsidP="00D44BA8">
      <w:pPr>
        <w:pStyle w:val="NormalWeb"/>
        <w:numPr>
          <w:ilvl w:val="1"/>
          <w:numId w:val="1"/>
        </w:numPr>
        <w:spacing w:before="0" w:beforeAutospacing="0" w:after="0" w:afterAutospacing="0"/>
        <w:rPr>
          <w:color w:val="auto"/>
          <w:u w:val="single"/>
        </w:rPr>
      </w:pPr>
      <w:r w:rsidRPr="00AC6DEC">
        <w:rPr>
          <w:color w:val="auto"/>
        </w:rPr>
        <w:t xml:space="preserve">Employees traveling in-state or out-of-state with or on behalf of the Director may be authorized for “actual cost” reimbursement.  Prior written approval from the Director is required.  </w:t>
      </w:r>
      <w:r w:rsidRPr="00AC6DEC">
        <w:rPr>
          <w:i/>
          <w:color w:val="auto"/>
        </w:rPr>
        <w:t>[Note</w:t>
      </w:r>
      <w:r w:rsidR="00481136" w:rsidRPr="00AC6DEC">
        <w:rPr>
          <w:i/>
          <w:color w:val="auto"/>
        </w:rPr>
        <w:t>: “</w:t>
      </w:r>
      <w:r w:rsidRPr="00AC6DEC">
        <w:rPr>
          <w:i/>
          <w:color w:val="auto"/>
        </w:rPr>
        <w:t>Actual cost” reimbursement is defined by the General Appropriations Act as not more than twice the regular maximum rates.]</w:t>
      </w:r>
    </w:p>
    <w:p w14:paraId="7729D832" w14:textId="77777777" w:rsidR="00D44BA8" w:rsidRPr="00D44BA8" w:rsidRDefault="00D44BA8" w:rsidP="00D44BA8">
      <w:pPr>
        <w:pStyle w:val="NormalWeb"/>
        <w:spacing w:before="0" w:beforeAutospacing="0" w:after="0" w:afterAutospacing="0"/>
        <w:rPr>
          <w:color w:val="auto"/>
          <w:u w:val="single"/>
        </w:rPr>
      </w:pPr>
    </w:p>
    <w:p w14:paraId="25B65650" w14:textId="336E84F6" w:rsidR="0024538F" w:rsidRPr="00D44BA8" w:rsidRDefault="00D44BA8" w:rsidP="00D44BA8">
      <w:pPr>
        <w:pStyle w:val="NormalWeb"/>
        <w:numPr>
          <w:ilvl w:val="1"/>
          <w:numId w:val="1"/>
        </w:numPr>
        <w:spacing w:before="0" w:beforeAutospacing="0" w:after="0" w:afterAutospacing="0"/>
        <w:rPr>
          <w:color w:val="auto"/>
          <w:u w:val="single"/>
        </w:rPr>
      </w:pPr>
      <w:r w:rsidRPr="00AC6DEC">
        <w:rPr>
          <w:color w:val="auto"/>
        </w:rPr>
        <w:t xml:space="preserve">Employees </w:t>
      </w:r>
      <w:r>
        <w:rPr>
          <w:color w:val="auto"/>
        </w:rPr>
        <w:t>are</w:t>
      </w:r>
      <w:r w:rsidRPr="00AC6DEC">
        <w:rPr>
          <w:color w:val="auto"/>
        </w:rPr>
        <w:t xml:space="preserve"> reimbursed for only allowable </w:t>
      </w:r>
      <w:r>
        <w:rPr>
          <w:color w:val="auto"/>
        </w:rPr>
        <w:t xml:space="preserve">and reasonable </w:t>
      </w:r>
      <w:r w:rsidRPr="00AC6DEC">
        <w:rPr>
          <w:color w:val="auto"/>
        </w:rPr>
        <w:t>expenses incurred for official business.</w:t>
      </w:r>
    </w:p>
    <w:p w14:paraId="5F19F175" w14:textId="77777777" w:rsidR="0024538F" w:rsidRDefault="0024538F" w:rsidP="00B960F4">
      <w:pPr>
        <w:pStyle w:val="NormalWeb"/>
        <w:spacing w:before="0" w:beforeAutospacing="0" w:after="0" w:afterAutospacing="0"/>
        <w:rPr>
          <w:color w:val="auto"/>
        </w:rPr>
      </w:pPr>
    </w:p>
    <w:p w14:paraId="015110C4" w14:textId="33C073A9" w:rsidR="001A2F9E" w:rsidRDefault="001A2F9E" w:rsidP="00D302DA">
      <w:pPr>
        <w:pStyle w:val="FootnoteText"/>
        <w:numPr>
          <w:ilvl w:val="0"/>
          <w:numId w:val="1"/>
        </w:numPr>
        <w:tabs>
          <w:tab w:val="clear" w:pos="720"/>
        </w:tabs>
        <w:rPr>
          <w:rFonts w:ascii="Times New Roman" w:hAnsi="Times New Roman"/>
          <w:u w:val="single"/>
        </w:rPr>
      </w:pPr>
      <w:r>
        <w:rPr>
          <w:rFonts w:ascii="Times New Roman" w:hAnsi="Times New Roman"/>
          <w:u w:val="single"/>
        </w:rPr>
        <w:t>INCIDENTAL TRAVEL EXPENSES</w:t>
      </w:r>
    </w:p>
    <w:p w14:paraId="7921DA61" w14:textId="22C3C017" w:rsidR="00D44BA8" w:rsidRDefault="00D44BA8" w:rsidP="00D44BA8">
      <w:pPr>
        <w:pStyle w:val="FootnoteText"/>
        <w:rPr>
          <w:rFonts w:ascii="Times New Roman" w:hAnsi="Times New Roman"/>
          <w:u w:val="single"/>
        </w:rPr>
      </w:pPr>
    </w:p>
    <w:p w14:paraId="0C9463AC" w14:textId="2355D00C" w:rsidR="00D44BA8" w:rsidRPr="00D44BA8" w:rsidRDefault="00D44BA8" w:rsidP="00D44BA8">
      <w:pPr>
        <w:pStyle w:val="FootnoteText"/>
        <w:numPr>
          <w:ilvl w:val="1"/>
          <w:numId w:val="1"/>
        </w:numPr>
        <w:rPr>
          <w:rFonts w:ascii="Times New Roman" w:hAnsi="Times New Roman"/>
          <w:u w:val="single"/>
        </w:rPr>
      </w:pPr>
      <w:r w:rsidRPr="00D44BA8">
        <w:rPr>
          <w:rFonts w:ascii="Times New Roman" w:hAnsi="Times New Roman"/>
        </w:rPr>
        <w:t>Incidental expenses are travel expenses incurred other than meals, lodging or transportation while in travel status.  Incidental expenses do not include expenses that would be incurred regardless of whether the individual was travelling.  Receipts are not generally required for incidental expenses, but the expenses must be itemized by date in the Travel Voucher documentation.</w:t>
      </w:r>
    </w:p>
    <w:p w14:paraId="0A94352B" w14:textId="7B4009D0" w:rsidR="00D44BA8" w:rsidRDefault="00D44BA8" w:rsidP="000A578F">
      <w:pPr>
        <w:pStyle w:val="FootnoteText"/>
        <w:ind w:left="1440"/>
        <w:rPr>
          <w:rFonts w:ascii="Times New Roman" w:hAnsi="Times New Roman"/>
          <w:u w:val="single"/>
        </w:rPr>
      </w:pPr>
    </w:p>
    <w:p w14:paraId="542F3877" w14:textId="66E1C955" w:rsidR="00D44BA8" w:rsidRPr="002A041B" w:rsidRDefault="00D44BA8" w:rsidP="00D44BA8">
      <w:pPr>
        <w:ind w:left="720" w:firstLine="720"/>
      </w:pPr>
      <w:r>
        <w:t>a.</w:t>
      </w:r>
      <w:r w:rsidRPr="002A041B">
        <w:tab/>
        <w:t xml:space="preserve">Reimbursable Incidental </w:t>
      </w:r>
      <w:r>
        <w:t xml:space="preserve">Travel </w:t>
      </w:r>
      <w:r w:rsidRPr="002A041B">
        <w:t>Expenses</w:t>
      </w:r>
    </w:p>
    <w:p w14:paraId="32960E44" w14:textId="3E54E8BA" w:rsidR="00D44BA8" w:rsidRPr="002A041B" w:rsidRDefault="00D44BA8" w:rsidP="000A578F">
      <w:pPr>
        <w:ind w:left="2160"/>
      </w:pPr>
    </w:p>
    <w:p w14:paraId="41AE02CC" w14:textId="77777777" w:rsidR="00D44BA8" w:rsidRPr="002A041B" w:rsidRDefault="00D44BA8" w:rsidP="00D44BA8">
      <w:pPr>
        <w:pStyle w:val="BodyTextIndent2"/>
        <w:ind w:left="2160"/>
        <w:rPr>
          <w:rFonts w:ascii="Times New Roman" w:hAnsi="Times New Roman"/>
        </w:rPr>
      </w:pPr>
      <w:r w:rsidRPr="002A041B">
        <w:rPr>
          <w:rFonts w:ascii="Times New Roman" w:hAnsi="Times New Roman"/>
        </w:rPr>
        <w:t xml:space="preserve">Below is a list of reimbursable </w:t>
      </w:r>
      <w:r>
        <w:rPr>
          <w:rFonts w:ascii="Times New Roman" w:hAnsi="Times New Roman"/>
        </w:rPr>
        <w:t xml:space="preserve">incidental </w:t>
      </w:r>
      <w:r w:rsidRPr="002A041B">
        <w:rPr>
          <w:rFonts w:ascii="Times New Roman" w:hAnsi="Times New Roman"/>
        </w:rPr>
        <w:t>expenses.</w:t>
      </w:r>
    </w:p>
    <w:p w14:paraId="4BAE1983" w14:textId="77777777" w:rsidR="00D44BA8" w:rsidRPr="002A041B" w:rsidRDefault="00D44BA8" w:rsidP="000A578F">
      <w:pPr>
        <w:ind w:left="2160"/>
      </w:pPr>
    </w:p>
    <w:p w14:paraId="7115826A" w14:textId="77777777" w:rsidR="00D44BA8" w:rsidRPr="002A041B" w:rsidRDefault="00D44BA8" w:rsidP="00D44BA8">
      <w:pPr>
        <w:numPr>
          <w:ilvl w:val="0"/>
          <w:numId w:val="8"/>
        </w:numPr>
        <w:tabs>
          <w:tab w:val="clear" w:pos="360"/>
          <w:tab w:val="num" w:pos="2520"/>
        </w:tabs>
        <w:ind w:left="2520"/>
      </w:pPr>
      <w:r w:rsidRPr="002A041B">
        <w:t>Hotel occupancy or similar taxes for which a state employee is entitled to be reimbursed</w:t>
      </w:r>
    </w:p>
    <w:p w14:paraId="613915D1" w14:textId="77777777" w:rsidR="00D44BA8" w:rsidRDefault="00D44BA8" w:rsidP="00D44BA8">
      <w:pPr>
        <w:numPr>
          <w:ilvl w:val="0"/>
          <w:numId w:val="8"/>
        </w:numPr>
        <w:tabs>
          <w:tab w:val="clear" w:pos="360"/>
          <w:tab w:val="num" w:pos="2520"/>
        </w:tabs>
        <w:ind w:left="2520"/>
      </w:pPr>
      <w:r w:rsidRPr="002A041B">
        <w:lastRenderedPageBreak/>
        <w:t>Business telephone calls</w:t>
      </w:r>
    </w:p>
    <w:p w14:paraId="6606CFC3" w14:textId="77777777" w:rsidR="00D44BA8" w:rsidRPr="002A041B" w:rsidRDefault="00D44BA8" w:rsidP="00D44BA8">
      <w:pPr>
        <w:numPr>
          <w:ilvl w:val="0"/>
          <w:numId w:val="8"/>
        </w:numPr>
        <w:tabs>
          <w:tab w:val="clear" w:pos="360"/>
          <w:tab w:val="num" w:pos="2520"/>
        </w:tabs>
        <w:ind w:left="2520"/>
      </w:pPr>
      <w:r>
        <w:t>Airline baggage charges</w:t>
      </w:r>
    </w:p>
    <w:p w14:paraId="2E5D47B4" w14:textId="77777777" w:rsidR="00D44BA8" w:rsidRPr="002A041B" w:rsidRDefault="00D44BA8" w:rsidP="00D44BA8">
      <w:pPr>
        <w:numPr>
          <w:ilvl w:val="0"/>
          <w:numId w:val="8"/>
        </w:numPr>
        <w:tabs>
          <w:tab w:val="clear" w:pos="360"/>
          <w:tab w:val="num" w:pos="2520"/>
        </w:tabs>
        <w:ind w:left="2520"/>
      </w:pPr>
      <w:r>
        <w:t>C</w:t>
      </w:r>
      <w:r w:rsidRPr="002A041B">
        <w:t>ost of money orders</w:t>
      </w:r>
    </w:p>
    <w:p w14:paraId="4B949264" w14:textId="77777777" w:rsidR="00D44BA8" w:rsidRPr="002A041B" w:rsidRDefault="00D44BA8" w:rsidP="00D44BA8">
      <w:pPr>
        <w:numPr>
          <w:ilvl w:val="0"/>
          <w:numId w:val="8"/>
        </w:numPr>
        <w:tabs>
          <w:tab w:val="clear" w:pos="360"/>
          <w:tab w:val="num" w:pos="2520"/>
        </w:tabs>
        <w:ind w:left="2520"/>
      </w:pPr>
      <w:r w:rsidRPr="002A041B">
        <w:t>Gasoline charges when rented, leased or state-owned motor vehicles are used</w:t>
      </w:r>
    </w:p>
    <w:p w14:paraId="1DC0E38B" w14:textId="77777777" w:rsidR="00D44BA8" w:rsidRPr="002A041B" w:rsidRDefault="00D44BA8" w:rsidP="00D44BA8">
      <w:pPr>
        <w:numPr>
          <w:ilvl w:val="0"/>
          <w:numId w:val="8"/>
        </w:numPr>
        <w:tabs>
          <w:tab w:val="clear" w:pos="360"/>
          <w:tab w:val="num" w:pos="2520"/>
        </w:tabs>
        <w:ind w:left="2520"/>
      </w:pPr>
      <w:r w:rsidRPr="002A041B">
        <w:t>Toll charges</w:t>
      </w:r>
    </w:p>
    <w:p w14:paraId="0BE5FD7A" w14:textId="77777777" w:rsidR="00D44BA8" w:rsidRPr="002A041B" w:rsidRDefault="00D44BA8" w:rsidP="00D44BA8">
      <w:pPr>
        <w:numPr>
          <w:ilvl w:val="0"/>
          <w:numId w:val="8"/>
        </w:numPr>
        <w:tabs>
          <w:tab w:val="clear" w:pos="360"/>
          <w:tab w:val="num" w:pos="2520"/>
        </w:tabs>
        <w:ind w:left="2520"/>
      </w:pPr>
      <w:r w:rsidRPr="002A041B">
        <w:t>Repair charges when a state-owned motor vehicle is used</w:t>
      </w:r>
    </w:p>
    <w:p w14:paraId="1139EAB8" w14:textId="77777777" w:rsidR="00D44BA8" w:rsidRPr="002A041B" w:rsidRDefault="00D44BA8" w:rsidP="00D44BA8">
      <w:pPr>
        <w:numPr>
          <w:ilvl w:val="0"/>
          <w:numId w:val="8"/>
        </w:numPr>
        <w:tabs>
          <w:tab w:val="clear" w:pos="360"/>
          <w:tab w:val="num" w:pos="2520"/>
        </w:tabs>
        <w:ind w:left="2520"/>
      </w:pPr>
      <w:r w:rsidRPr="002A041B">
        <w:t>Copying charges</w:t>
      </w:r>
    </w:p>
    <w:p w14:paraId="75EE4D90" w14:textId="77777777" w:rsidR="00D44BA8" w:rsidRPr="002A041B" w:rsidRDefault="00D44BA8" w:rsidP="00D44BA8">
      <w:pPr>
        <w:numPr>
          <w:ilvl w:val="0"/>
          <w:numId w:val="8"/>
        </w:numPr>
        <w:tabs>
          <w:tab w:val="clear" w:pos="360"/>
          <w:tab w:val="num" w:pos="2520"/>
        </w:tabs>
        <w:ind w:left="2520"/>
      </w:pPr>
      <w:r w:rsidRPr="002A041B">
        <w:t>Freight charges for state equipment or materials</w:t>
      </w:r>
    </w:p>
    <w:p w14:paraId="52227A68" w14:textId="77777777" w:rsidR="00D44BA8" w:rsidRPr="002A041B" w:rsidRDefault="00D44BA8" w:rsidP="00D44BA8">
      <w:pPr>
        <w:numPr>
          <w:ilvl w:val="0"/>
          <w:numId w:val="8"/>
        </w:numPr>
        <w:tabs>
          <w:tab w:val="clear" w:pos="360"/>
          <w:tab w:val="num" w:pos="2520"/>
        </w:tabs>
        <w:ind w:left="2520"/>
      </w:pPr>
      <w:r w:rsidRPr="002A041B">
        <w:t>Admittance fees while accompanying clients of the state</w:t>
      </w:r>
    </w:p>
    <w:p w14:paraId="0FBED39B" w14:textId="77777777" w:rsidR="00D44BA8" w:rsidRPr="002A041B" w:rsidRDefault="00D44BA8" w:rsidP="00D44BA8">
      <w:pPr>
        <w:numPr>
          <w:ilvl w:val="0"/>
          <w:numId w:val="8"/>
        </w:numPr>
        <w:tabs>
          <w:tab w:val="clear" w:pos="360"/>
          <w:tab w:val="num" w:pos="2520"/>
        </w:tabs>
        <w:ind w:left="2520"/>
      </w:pPr>
      <w:r w:rsidRPr="002A041B">
        <w:t xml:space="preserve">Foreign travel: </w:t>
      </w:r>
      <w:r>
        <w:t xml:space="preserve"> </w:t>
      </w:r>
      <w:r w:rsidRPr="002A041B">
        <w:t>passport or visa charges, airport boarding passes, departure taxes and inoculations</w:t>
      </w:r>
    </w:p>
    <w:p w14:paraId="26C8A366" w14:textId="77777777" w:rsidR="00D44BA8" w:rsidRPr="002A041B" w:rsidRDefault="00D44BA8" w:rsidP="00D44BA8">
      <w:pPr>
        <w:numPr>
          <w:ilvl w:val="0"/>
          <w:numId w:val="8"/>
        </w:numPr>
        <w:tabs>
          <w:tab w:val="clear" w:pos="360"/>
          <w:tab w:val="num" w:pos="2520"/>
        </w:tabs>
        <w:ind w:left="2520"/>
      </w:pPr>
      <w:r w:rsidRPr="002A041B">
        <w:t>Postage</w:t>
      </w:r>
    </w:p>
    <w:p w14:paraId="7A313B78" w14:textId="77777777" w:rsidR="00D44BA8" w:rsidRPr="002A041B" w:rsidRDefault="00D44BA8" w:rsidP="00D44BA8">
      <w:pPr>
        <w:numPr>
          <w:ilvl w:val="0"/>
          <w:numId w:val="8"/>
        </w:numPr>
        <w:tabs>
          <w:tab w:val="clear" w:pos="360"/>
          <w:tab w:val="num" w:pos="2520"/>
        </w:tabs>
        <w:ind w:left="2520"/>
      </w:pPr>
      <w:r w:rsidRPr="002A041B">
        <w:t>Notary fees</w:t>
      </w:r>
    </w:p>
    <w:p w14:paraId="4DC36C5E" w14:textId="77777777" w:rsidR="00D44BA8" w:rsidRPr="002A041B" w:rsidRDefault="00D44BA8" w:rsidP="00D44BA8">
      <w:pPr>
        <w:numPr>
          <w:ilvl w:val="0"/>
          <w:numId w:val="8"/>
        </w:numPr>
        <w:tabs>
          <w:tab w:val="clear" w:pos="360"/>
          <w:tab w:val="num" w:pos="2520"/>
        </w:tabs>
        <w:ind w:left="2520"/>
      </w:pPr>
      <w:r w:rsidRPr="002A041B">
        <w:t>Charges to exchange U.S</w:t>
      </w:r>
      <w:r>
        <w:t>.</w:t>
      </w:r>
      <w:r w:rsidRPr="002A041B">
        <w:t xml:space="preserve"> currency for foreign currency and vice</w:t>
      </w:r>
      <w:r>
        <w:t xml:space="preserve"> </w:t>
      </w:r>
      <w:r w:rsidRPr="002A041B">
        <w:t>versa.  The exchange rate used for conversion of monies must be stated.</w:t>
      </w:r>
    </w:p>
    <w:p w14:paraId="5D214310" w14:textId="77777777" w:rsidR="00D44BA8" w:rsidRPr="002A041B" w:rsidRDefault="00D44BA8" w:rsidP="00D44BA8">
      <w:pPr>
        <w:numPr>
          <w:ilvl w:val="0"/>
          <w:numId w:val="8"/>
        </w:numPr>
        <w:tabs>
          <w:tab w:val="clear" w:pos="360"/>
          <w:tab w:val="num" w:pos="2520"/>
        </w:tabs>
        <w:ind w:left="2520"/>
      </w:pPr>
      <w:r w:rsidRPr="002A041B">
        <w:t>Travelers’ checks charges if a state agency requires the employee to purchase the checks</w:t>
      </w:r>
    </w:p>
    <w:p w14:paraId="6016B2BF" w14:textId="77777777" w:rsidR="00D44BA8" w:rsidRPr="002A041B" w:rsidRDefault="00D44BA8" w:rsidP="00D44BA8">
      <w:pPr>
        <w:numPr>
          <w:ilvl w:val="0"/>
          <w:numId w:val="8"/>
        </w:numPr>
        <w:tabs>
          <w:tab w:val="clear" w:pos="360"/>
          <w:tab w:val="num" w:pos="2520"/>
        </w:tabs>
        <w:ind w:left="2520"/>
      </w:pPr>
      <w:r w:rsidRPr="002A041B">
        <w:t>Books or documents purchased for departmental use while attending a seminar or conference</w:t>
      </w:r>
    </w:p>
    <w:p w14:paraId="61D445D7" w14:textId="77777777" w:rsidR="00D44BA8" w:rsidRDefault="00D44BA8" w:rsidP="00D44BA8">
      <w:pPr>
        <w:numPr>
          <w:ilvl w:val="0"/>
          <w:numId w:val="8"/>
        </w:numPr>
        <w:tabs>
          <w:tab w:val="clear" w:pos="360"/>
          <w:tab w:val="num" w:pos="2520"/>
        </w:tabs>
        <w:ind w:left="2520"/>
      </w:pPr>
      <w:r w:rsidRPr="002A041B">
        <w:t>Mandatory service charges for loading and unloading state equipment</w:t>
      </w:r>
    </w:p>
    <w:p w14:paraId="27883DFF" w14:textId="77777777" w:rsidR="00D44BA8" w:rsidRPr="002A041B" w:rsidRDefault="00D44BA8" w:rsidP="00D44BA8">
      <w:pPr>
        <w:numPr>
          <w:ilvl w:val="0"/>
          <w:numId w:val="8"/>
        </w:numPr>
        <w:tabs>
          <w:tab w:val="clear" w:pos="360"/>
          <w:tab w:val="num" w:pos="2520"/>
        </w:tabs>
        <w:ind w:left="2520"/>
      </w:pPr>
      <w:r>
        <w:t>Mandatory service charges for meals (only allowed on institutional funds - 2 accounts)</w:t>
      </w:r>
    </w:p>
    <w:p w14:paraId="30BF20E7" w14:textId="77777777" w:rsidR="00D44BA8" w:rsidRPr="002A041B" w:rsidRDefault="00D44BA8" w:rsidP="00D44BA8">
      <w:pPr>
        <w:numPr>
          <w:ilvl w:val="0"/>
          <w:numId w:val="8"/>
        </w:numPr>
        <w:tabs>
          <w:tab w:val="clear" w:pos="360"/>
          <w:tab w:val="num" w:pos="2520"/>
        </w:tabs>
        <w:ind w:left="2520"/>
      </w:pPr>
      <w:r w:rsidRPr="002A041B">
        <w:t>Facsimile charges</w:t>
      </w:r>
    </w:p>
    <w:p w14:paraId="2F5DF96A" w14:textId="77777777" w:rsidR="00D44BA8" w:rsidRPr="002A041B" w:rsidRDefault="00D44BA8" w:rsidP="00D44BA8">
      <w:pPr>
        <w:numPr>
          <w:ilvl w:val="0"/>
          <w:numId w:val="8"/>
        </w:numPr>
        <w:tabs>
          <w:tab w:val="clear" w:pos="360"/>
          <w:tab w:val="num" w:pos="2520"/>
        </w:tabs>
        <w:ind w:left="2520"/>
      </w:pPr>
      <w:r w:rsidRPr="002A041B">
        <w:t>Sales and use taxes if either the applicable law does not provide an exemption from those taxes or the procedure for claiming a legally available exemption is not honored by the person collecting the taxes.   (Sales and use taxes assessed on meals are not incidental expenses.)</w:t>
      </w:r>
    </w:p>
    <w:p w14:paraId="43361387" w14:textId="77777777" w:rsidR="00D44BA8" w:rsidRPr="002A041B" w:rsidRDefault="00D44BA8" w:rsidP="00D44BA8">
      <w:pPr>
        <w:numPr>
          <w:ilvl w:val="0"/>
          <w:numId w:val="8"/>
        </w:numPr>
        <w:tabs>
          <w:tab w:val="clear" w:pos="360"/>
          <w:tab w:val="num" w:pos="2520"/>
        </w:tabs>
        <w:ind w:left="2520"/>
      </w:pPr>
      <w:r w:rsidRPr="002A041B">
        <w:t>Preparation of the remains and personal property of a deceased state employee</w:t>
      </w:r>
    </w:p>
    <w:p w14:paraId="0C97E87B" w14:textId="77777777" w:rsidR="00D44BA8" w:rsidRPr="002A041B" w:rsidRDefault="00D44BA8" w:rsidP="00D44BA8">
      <w:pPr>
        <w:numPr>
          <w:ilvl w:val="0"/>
          <w:numId w:val="8"/>
        </w:numPr>
        <w:tabs>
          <w:tab w:val="clear" w:pos="360"/>
          <w:tab w:val="num" w:pos="2520"/>
        </w:tabs>
        <w:ind w:left="2520"/>
      </w:pPr>
      <w:r w:rsidRPr="002A041B">
        <w:t>Attendant care and related expenses</w:t>
      </w:r>
    </w:p>
    <w:p w14:paraId="3ABE6045" w14:textId="77777777" w:rsidR="00D44BA8" w:rsidRPr="002A041B" w:rsidRDefault="00D44BA8" w:rsidP="000A578F">
      <w:pPr>
        <w:pStyle w:val="Header"/>
        <w:tabs>
          <w:tab w:val="clear" w:pos="4320"/>
          <w:tab w:val="clear" w:pos="8640"/>
        </w:tabs>
        <w:ind w:left="1440"/>
      </w:pPr>
    </w:p>
    <w:p w14:paraId="348009A3" w14:textId="291D5F67" w:rsidR="00D44BA8" w:rsidRPr="002A041B" w:rsidRDefault="00D44BA8" w:rsidP="00D44BA8">
      <w:pPr>
        <w:ind w:left="720" w:firstLine="720"/>
      </w:pPr>
      <w:r>
        <w:t>b</w:t>
      </w:r>
      <w:r w:rsidRPr="002A041B">
        <w:t>.</w:t>
      </w:r>
      <w:r w:rsidRPr="002A041B">
        <w:tab/>
        <w:t>Non-Reimbursable Expenses</w:t>
      </w:r>
    </w:p>
    <w:p w14:paraId="2EFE9280" w14:textId="77777777" w:rsidR="00D44BA8" w:rsidRPr="002A041B" w:rsidRDefault="00D44BA8" w:rsidP="000A578F">
      <w:pPr>
        <w:ind w:left="2160"/>
      </w:pPr>
    </w:p>
    <w:p w14:paraId="7746FBA2" w14:textId="77777777" w:rsidR="00D44BA8" w:rsidRPr="00333DC0" w:rsidRDefault="00D44BA8" w:rsidP="00D44BA8">
      <w:pPr>
        <w:ind w:left="2160"/>
      </w:pPr>
      <w:r w:rsidRPr="002A041B">
        <w:t>The following expenses are not reimbursable, regardless of whether they are incurred while conducting official state business</w:t>
      </w:r>
      <w:r w:rsidRPr="00333DC0">
        <w:t>.  This is only a partial list.</w:t>
      </w:r>
    </w:p>
    <w:p w14:paraId="79306C76" w14:textId="77777777" w:rsidR="00D44BA8" w:rsidRPr="002A041B" w:rsidRDefault="00D44BA8" w:rsidP="000A578F">
      <w:pPr>
        <w:ind w:left="2160"/>
      </w:pPr>
    </w:p>
    <w:p w14:paraId="51BDD963" w14:textId="77777777" w:rsidR="00D44BA8" w:rsidRDefault="00D44BA8" w:rsidP="00D44BA8">
      <w:pPr>
        <w:numPr>
          <w:ilvl w:val="0"/>
          <w:numId w:val="9"/>
        </w:numPr>
        <w:tabs>
          <w:tab w:val="clear" w:pos="360"/>
          <w:tab w:val="num" w:pos="2520"/>
        </w:tabs>
        <w:ind w:left="2520"/>
      </w:pPr>
      <w:r w:rsidRPr="002A041B">
        <w:t xml:space="preserve">Any expense that does not relate to official state business </w:t>
      </w:r>
    </w:p>
    <w:p w14:paraId="7B4981CE" w14:textId="77777777" w:rsidR="00D44BA8" w:rsidRPr="002A041B" w:rsidRDefault="00D44BA8" w:rsidP="00D44BA8">
      <w:pPr>
        <w:numPr>
          <w:ilvl w:val="0"/>
          <w:numId w:val="9"/>
        </w:numPr>
        <w:tabs>
          <w:tab w:val="clear" w:pos="360"/>
          <w:tab w:val="num" w:pos="2520"/>
        </w:tabs>
        <w:ind w:left="2520"/>
      </w:pPr>
      <w:r w:rsidRPr="002A041B">
        <w:t>Any expense that is related to the operation of a personally</w:t>
      </w:r>
      <w:r>
        <w:t>-</w:t>
      </w:r>
      <w:r w:rsidRPr="002A041B">
        <w:t>owned or leased motor vehicle, with the exception of parking and toll expenses</w:t>
      </w:r>
    </w:p>
    <w:p w14:paraId="4E05A9AE" w14:textId="77777777" w:rsidR="00D44BA8" w:rsidRPr="002A041B" w:rsidRDefault="00D44BA8" w:rsidP="00D44BA8">
      <w:pPr>
        <w:numPr>
          <w:ilvl w:val="0"/>
          <w:numId w:val="9"/>
        </w:numPr>
        <w:tabs>
          <w:tab w:val="clear" w:pos="360"/>
          <w:tab w:val="num" w:pos="2520"/>
        </w:tabs>
        <w:ind w:left="2520"/>
      </w:pPr>
      <w:r>
        <w:t>Voluntary t</w:t>
      </w:r>
      <w:r w:rsidRPr="002A041B">
        <w:t>ips or gratuities</w:t>
      </w:r>
      <w:r>
        <w:t xml:space="preserve"> (exception allowed when paid from institutional funds)</w:t>
      </w:r>
    </w:p>
    <w:p w14:paraId="4A4B5D24" w14:textId="08A99954" w:rsidR="00D44BA8" w:rsidRPr="002A041B" w:rsidRDefault="00D44BA8" w:rsidP="00D44BA8">
      <w:pPr>
        <w:numPr>
          <w:ilvl w:val="0"/>
          <w:numId w:val="9"/>
        </w:numPr>
        <w:tabs>
          <w:tab w:val="clear" w:pos="360"/>
          <w:tab w:val="num" w:pos="2520"/>
        </w:tabs>
        <w:ind w:left="2520"/>
      </w:pPr>
      <w:r w:rsidRPr="002A041B">
        <w:t xml:space="preserve">Personal expenses, such as the rental or purchase of </w:t>
      </w:r>
      <w:r>
        <w:t xml:space="preserve">movies or games </w:t>
      </w:r>
      <w:r w:rsidRPr="002A041B">
        <w:t>for personal entertainment, alcoholic beverages, dry cleaning or laundry</w:t>
      </w:r>
      <w:r>
        <w:t xml:space="preserve">.  [See exception in section </w:t>
      </w:r>
      <w:r w:rsidR="008B6E49">
        <w:t>8.2</w:t>
      </w:r>
      <w:r>
        <w:t xml:space="preserve"> below.]</w:t>
      </w:r>
    </w:p>
    <w:p w14:paraId="4840FB41" w14:textId="77777777" w:rsidR="00D44BA8" w:rsidRPr="002A041B" w:rsidRDefault="00D44BA8" w:rsidP="00D44BA8">
      <w:pPr>
        <w:numPr>
          <w:ilvl w:val="0"/>
          <w:numId w:val="9"/>
        </w:numPr>
        <w:tabs>
          <w:tab w:val="clear" w:pos="360"/>
          <w:tab w:val="num" w:pos="2520"/>
        </w:tabs>
        <w:ind w:left="2520"/>
      </w:pPr>
      <w:r w:rsidRPr="002A041B">
        <w:t>Kennel expenses for pets</w:t>
      </w:r>
    </w:p>
    <w:p w14:paraId="6AF208EC" w14:textId="120791D6" w:rsidR="00D44BA8" w:rsidRDefault="00D44BA8" w:rsidP="000A578F">
      <w:pPr>
        <w:numPr>
          <w:ilvl w:val="0"/>
          <w:numId w:val="9"/>
        </w:numPr>
        <w:tabs>
          <w:tab w:val="clear" w:pos="360"/>
          <w:tab w:val="num" w:pos="2520"/>
        </w:tabs>
        <w:ind w:left="2520"/>
      </w:pPr>
      <w:r w:rsidRPr="002A041B">
        <w:lastRenderedPageBreak/>
        <w:t>Sales and use taxes if applicable law provides an exemption from those taxes and the state employee either fail</w:t>
      </w:r>
      <w:r>
        <w:t>s</w:t>
      </w:r>
      <w:r w:rsidRPr="002A041B">
        <w:t xml:space="preserve"> to claim the exemption or does not follow the required procedures for claiming it</w:t>
      </w:r>
    </w:p>
    <w:p w14:paraId="477280E7" w14:textId="3A6522D0" w:rsidR="00D218ED" w:rsidRDefault="00D218ED" w:rsidP="000A578F">
      <w:pPr>
        <w:numPr>
          <w:ilvl w:val="0"/>
          <w:numId w:val="9"/>
        </w:numPr>
        <w:tabs>
          <w:tab w:val="clear" w:pos="360"/>
          <w:tab w:val="num" w:pos="2520"/>
        </w:tabs>
        <w:ind w:left="2520"/>
      </w:pPr>
      <w:r>
        <w:t>Any surcharge for the use of a credit card</w:t>
      </w:r>
    </w:p>
    <w:p w14:paraId="1D9FD774" w14:textId="77777777" w:rsidR="00D44BA8" w:rsidRDefault="00D44BA8" w:rsidP="00D44BA8">
      <w:pPr>
        <w:pStyle w:val="FootnoteText"/>
        <w:rPr>
          <w:rFonts w:ascii="Times New Roman" w:hAnsi="Times New Roman"/>
          <w:u w:val="single"/>
        </w:rPr>
      </w:pPr>
    </w:p>
    <w:p w14:paraId="60BE6A03" w14:textId="6A250428" w:rsidR="00D44BA8" w:rsidRPr="000A578F" w:rsidRDefault="000A578F" w:rsidP="00D44BA8">
      <w:pPr>
        <w:pStyle w:val="FootnoteText"/>
        <w:numPr>
          <w:ilvl w:val="1"/>
          <w:numId w:val="1"/>
        </w:numPr>
        <w:rPr>
          <w:rFonts w:ascii="Times New Roman" w:hAnsi="Times New Roman"/>
          <w:u w:val="single"/>
        </w:rPr>
      </w:pPr>
      <w:r w:rsidRPr="000A578F">
        <w:rPr>
          <w:rFonts w:ascii="Times New Roman" w:hAnsi="Times New Roman"/>
        </w:rPr>
        <w:t>An agency employee assigned to a disaster or emergency response away from designated headquarters may be reimbursed for the actual expense of laundering agency uniforms without supporting documentation.</w:t>
      </w:r>
    </w:p>
    <w:p w14:paraId="2CEA8C21" w14:textId="77777777" w:rsidR="000A578F" w:rsidRPr="000A578F" w:rsidRDefault="000A578F" w:rsidP="000A578F">
      <w:pPr>
        <w:pStyle w:val="FootnoteText"/>
        <w:rPr>
          <w:rFonts w:ascii="Times New Roman" w:hAnsi="Times New Roman"/>
          <w:u w:val="single"/>
        </w:rPr>
      </w:pPr>
    </w:p>
    <w:p w14:paraId="77FAE543" w14:textId="1626E836" w:rsidR="00890EF3" w:rsidRPr="000A578F" w:rsidRDefault="000A578F" w:rsidP="000A578F">
      <w:pPr>
        <w:pStyle w:val="FootnoteText"/>
        <w:numPr>
          <w:ilvl w:val="1"/>
          <w:numId w:val="1"/>
        </w:numPr>
        <w:rPr>
          <w:rFonts w:ascii="Times New Roman" w:hAnsi="Times New Roman"/>
          <w:u w:val="single"/>
        </w:rPr>
      </w:pPr>
      <w:r w:rsidRPr="000A578F">
        <w:rPr>
          <w:rFonts w:ascii="Times New Roman" w:hAnsi="Times New Roman"/>
        </w:rPr>
        <w:t>Any telecommunications costs incurred for official business, amounting to $6.00 or more per voucher, must be supported with itemized receipts or a log.</w:t>
      </w:r>
    </w:p>
    <w:p w14:paraId="6F3A3A91" w14:textId="77777777" w:rsidR="004E79BE" w:rsidRPr="00801833" w:rsidRDefault="004E79BE" w:rsidP="000A578F">
      <w:pPr>
        <w:pStyle w:val="FootnoteText"/>
        <w:rPr>
          <w:rFonts w:ascii="Times New Roman" w:hAnsi="Times New Roman"/>
          <w:u w:val="single"/>
        </w:rPr>
      </w:pPr>
    </w:p>
    <w:p w14:paraId="27E5C264" w14:textId="3C21E8DB" w:rsidR="00D302DA" w:rsidRPr="00AD2031" w:rsidRDefault="00D302DA" w:rsidP="0079312C">
      <w:pPr>
        <w:pStyle w:val="FootnoteText"/>
        <w:numPr>
          <w:ilvl w:val="0"/>
          <w:numId w:val="1"/>
        </w:numPr>
        <w:rPr>
          <w:rFonts w:ascii="Times New Roman" w:hAnsi="Times New Roman"/>
          <w:u w:val="single"/>
        </w:rPr>
      </w:pPr>
      <w:r w:rsidRPr="00AD2031">
        <w:rPr>
          <w:rFonts w:ascii="Times New Roman" w:hAnsi="Times New Roman"/>
          <w:u w:val="single"/>
        </w:rPr>
        <w:t>LIMITATIONS ON REIMBURSEMENTS</w:t>
      </w:r>
    </w:p>
    <w:p w14:paraId="1AE7C74C" w14:textId="77777777" w:rsidR="000A578F" w:rsidRDefault="000A578F" w:rsidP="000A578F">
      <w:pPr>
        <w:pStyle w:val="FootnoteText"/>
        <w:rPr>
          <w:rFonts w:ascii="Times New Roman" w:hAnsi="Times New Roman"/>
          <w:u w:val="single"/>
        </w:rPr>
      </w:pPr>
    </w:p>
    <w:p w14:paraId="6D25BBD0" w14:textId="09BEDF88" w:rsidR="000A578F" w:rsidRPr="000A578F" w:rsidRDefault="000A578F" w:rsidP="000A578F">
      <w:pPr>
        <w:pStyle w:val="FootnoteText"/>
        <w:numPr>
          <w:ilvl w:val="1"/>
          <w:numId w:val="1"/>
        </w:numPr>
        <w:rPr>
          <w:rFonts w:ascii="Times New Roman" w:hAnsi="Times New Roman"/>
          <w:u w:val="single"/>
        </w:rPr>
      </w:pPr>
      <w:r>
        <w:rPr>
          <w:rFonts w:ascii="Times New Roman" w:hAnsi="Times New Roman"/>
        </w:rPr>
        <w:t xml:space="preserve">System Regulation 21.01.03 and the General Appropriations Act state that an employee may be reimbursed for the </w:t>
      </w:r>
      <w:r>
        <w:rPr>
          <w:rFonts w:ascii="Times New Roman" w:hAnsi="Times New Roman"/>
          <w:b/>
          <w:u w:val="single"/>
        </w:rPr>
        <w:t>actual</w:t>
      </w:r>
      <w:r>
        <w:rPr>
          <w:rFonts w:ascii="Times New Roman" w:hAnsi="Times New Roman"/>
        </w:rPr>
        <w:t xml:space="preserve"> cost of meals limited to the maximum meal reimbursement amount.  Travelers that do not prepare their own travel voucher must provide written meal cost information to the voucher preparer.</w:t>
      </w:r>
    </w:p>
    <w:p w14:paraId="7A922165" w14:textId="77777777" w:rsidR="000A578F" w:rsidRPr="000A578F" w:rsidRDefault="000A578F" w:rsidP="000A578F">
      <w:pPr>
        <w:pStyle w:val="FootnoteText"/>
        <w:rPr>
          <w:rFonts w:ascii="Times New Roman" w:hAnsi="Times New Roman"/>
          <w:u w:val="single"/>
        </w:rPr>
      </w:pPr>
    </w:p>
    <w:p w14:paraId="19A27DC0" w14:textId="76E8D4CC" w:rsidR="000A578F" w:rsidRPr="000A578F" w:rsidRDefault="000A578F" w:rsidP="000A578F">
      <w:pPr>
        <w:pStyle w:val="FootnoteText"/>
        <w:numPr>
          <w:ilvl w:val="1"/>
          <w:numId w:val="1"/>
        </w:numPr>
        <w:rPr>
          <w:rFonts w:ascii="Times New Roman" w:hAnsi="Times New Roman"/>
          <w:u w:val="single"/>
        </w:rPr>
      </w:pPr>
      <w:r>
        <w:rPr>
          <w:rFonts w:ascii="Times New Roman" w:hAnsi="Times New Roman"/>
        </w:rPr>
        <w:t xml:space="preserve">Employees are not reimbursed for meals that are provided as part of official duties.  Also, </w:t>
      </w:r>
      <w:r w:rsidRPr="00536D98">
        <w:rPr>
          <w:rFonts w:ascii="Times New Roman" w:hAnsi="Times New Roman"/>
        </w:rPr>
        <w:t>employee</w:t>
      </w:r>
      <w:r>
        <w:rPr>
          <w:rFonts w:ascii="Times New Roman" w:hAnsi="Times New Roman"/>
        </w:rPr>
        <w:t>s</w:t>
      </w:r>
      <w:r w:rsidRPr="00536D98">
        <w:rPr>
          <w:rFonts w:ascii="Times New Roman" w:hAnsi="Times New Roman"/>
        </w:rPr>
        <w:t xml:space="preserve"> </w:t>
      </w:r>
      <w:r>
        <w:rPr>
          <w:rFonts w:ascii="Times New Roman" w:hAnsi="Times New Roman"/>
        </w:rPr>
        <w:t xml:space="preserve">are </w:t>
      </w:r>
      <w:r w:rsidRPr="00536D98">
        <w:rPr>
          <w:rFonts w:ascii="Times New Roman" w:hAnsi="Times New Roman"/>
        </w:rPr>
        <w:t>not reimbursed for meals when traveling on official business that does not require an overnight stay unless the meal is considered a business meal and is substantiated as such.</w:t>
      </w:r>
    </w:p>
    <w:p w14:paraId="5D388D52" w14:textId="77777777" w:rsidR="000A578F" w:rsidRPr="000A578F" w:rsidRDefault="000A578F" w:rsidP="000A578F">
      <w:pPr>
        <w:pStyle w:val="FootnoteText"/>
        <w:rPr>
          <w:rFonts w:ascii="Times New Roman" w:hAnsi="Times New Roman"/>
          <w:u w:val="single"/>
        </w:rPr>
      </w:pPr>
    </w:p>
    <w:p w14:paraId="7DAD077F" w14:textId="545BC2EE" w:rsidR="0024538F" w:rsidRPr="000A578F" w:rsidRDefault="000A578F" w:rsidP="000A578F">
      <w:pPr>
        <w:pStyle w:val="FootnoteText"/>
        <w:numPr>
          <w:ilvl w:val="1"/>
          <w:numId w:val="1"/>
        </w:numPr>
        <w:rPr>
          <w:rFonts w:ascii="Times New Roman" w:hAnsi="Times New Roman"/>
          <w:u w:val="single"/>
        </w:rPr>
      </w:pPr>
      <w:r>
        <w:rPr>
          <w:rFonts w:ascii="Times New Roman" w:hAnsi="Times New Roman"/>
        </w:rPr>
        <w:t>Agency limits meal reimbursement for in-state travel to $59, regardless of the location-</w:t>
      </w:r>
      <w:r w:rsidRPr="000E1568">
        <w:rPr>
          <w:rFonts w:ascii="Times New Roman" w:hAnsi="Times New Roman"/>
        </w:rPr>
        <w:t xml:space="preserve">based </w:t>
      </w:r>
      <w:r w:rsidRPr="00CD08DC">
        <w:rPr>
          <w:rFonts w:ascii="Times New Roman" w:hAnsi="Times New Roman"/>
        </w:rPr>
        <w:t>U.S. General Services Administration per diem rate</w:t>
      </w:r>
      <w:r>
        <w:rPr>
          <w:rFonts w:ascii="Times New Roman" w:hAnsi="Times New Roman"/>
        </w:rPr>
        <w:t xml:space="preserve">. </w:t>
      </w:r>
      <w:r w:rsidRPr="00CD08DC">
        <w:rPr>
          <w:rFonts w:ascii="Times New Roman" w:hAnsi="Times New Roman"/>
        </w:rPr>
        <w:t xml:space="preserve"> </w:t>
      </w:r>
      <w:r>
        <w:rPr>
          <w:rFonts w:ascii="Times New Roman" w:hAnsi="Times New Roman"/>
        </w:rPr>
        <w:t>The agency</w:t>
      </w:r>
      <w:r w:rsidRPr="00236E56">
        <w:rPr>
          <w:rFonts w:ascii="Times New Roman" w:hAnsi="Times New Roman"/>
        </w:rPr>
        <w:t xml:space="preserve"> allocates the daily in-state maximum meal reimbursement:</w:t>
      </w:r>
    </w:p>
    <w:p w14:paraId="05FEA33C" w14:textId="14C8EF8B" w:rsidR="000A578F" w:rsidRDefault="000A578F" w:rsidP="000A578F">
      <w:pPr>
        <w:pStyle w:val="FootnoteText"/>
        <w:rPr>
          <w:rFonts w:ascii="Times New Roman" w:hAnsi="Times New Roman"/>
        </w:rPr>
      </w:pPr>
    </w:p>
    <w:tbl>
      <w:tblPr>
        <w:tblW w:w="4860" w:type="dxa"/>
        <w:tblInd w:w="2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2790"/>
      </w:tblGrid>
      <w:tr w:rsidR="000A578F" w14:paraId="44412A9B" w14:textId="77777777" w:rsidTr="00F07DCF">
        <w:trPr>
          <w:cantSplit/>
          <w:trHeight w:val="701"/>
        </w:trPr>
        <w:tc>
          <w:tcPr>
            <w:tcW w:w="2070" w:type="dxa"/>
            <w:shd w:val="pct12" w:color="auto" w:fill="auto"/>
          </w:tcPr>
          <w:p w14:paraId="3265F560" w14:textId="77777777" w:rsidR="000A578F" w:rsidRDefault="000A578F" w:rsidP="00F07DCF">
            <w:pPr>
              <w:pStyle w:val="Title"/>
              <w:ind w:left="-198"/>
              <w:rPr>
                <w:b/>
                <w:bCs/>
                <w:sz w:val="24"/>
              </w:rPr>
            </w:pPr>
          </w:p>
          <w:p w14:paraId="0C8323A4" w14:textId="77777777" w:rsidR="000A578F" w:rsidRDefault="000A578F" w:rsidP="00F07DCF">
            <w:pPr>
              <w:pStyle w:val="Title"/>
              <w:ind w:left="-198"/>
              <w:rPr>
                <w:b/>
                <w:bCs/>
                <w:sz w:val="24"/>
              </w:rPr>
            </w:pPr>
            <w:r>
              <w:rPr>
                <w:b/>
                <w:bCs/>
                <w:sz w:val="24"/>
              </w:rPr>
              <w:t>Meal</w:t>
            </w:r>
          </w:p>
        </w:tc>
        <w:tc>
          <w:tcPr>
            <w:tcW w:w="2790" w:type="dxa"/>
            <w:shd w:val="pct12" w:color="auto" w:fill="auto"/>
          </w:tcPr>
          <w:p w14:paraId="1DFB1429" w14:textId="77777777" w:rsidR="000A578F" w:rsidRDefault="000A578F" w:rsidP="00F07DCF">
            <w:pPr>
              <w:pStyle w:val="Title"/>
              <w:tabs>
                <w:tab w:val="left" w:pos="2686"/>
              </w:tabs>
              <w:ind w:left="-198" w:right="251"/>
              <w:rPr>
                <w:b/>
                <w:bCs/>
                <w:sz w:val="24"/>
              </w:rPr>
            </w:pPr>
            <w:r>
              <w:rPr>
                <w:b/>
                <w:bCs/>
                <w:sz w:val="24"/>
              </w:rPr>
              <w:t xml:space="preserve">Maximum Reimbursement </w:t>
            </w:r>
          </w:p>
        </w:tc>
      </w:tr>
      <w:tr w:rsidR="000A578F" w14:paraId="528D87FB" w14:textId="77777777" w:rsidTr="00F07DCF">
        <w:trPr>
          <w:cantSplit/>
          <w:trHeight w:val="287"/>
          <w:tblHeader/>
        </w:trPr>
        <w:tc>
          <w:tcPr>
            <w:tcW w:w="2070" w:type="dxa"/>
            <w:vAlign w:val="center"/>
          </w:tcPr>
          <w:p w14:paraId="130C619D" w14:textId="77777777" w:rsidR="000A578F" w:rsidRDefault="000A578F" w:rsidP="00F07DCF">
            <w:pPr>
              <w:pStyle w:val="Title"/>
              <w:ind w:left="-198"/>
              <w:rPr>
                <w:sz w:val="24"/>
              </w:rPr>
            </w:pPr>
            <w:r>
              <w:rPr>
                <w:sz w:val="24"/>
              </w:rPr>
              <w:t>Breakfast</w:t>
            </w:r>
          </w:p>
        </w:tc>
        <w:tc>
          <w:tcPr>
            <w:tcW w:w="2790" w:type="dxa"/>
          </w:tcPr>
          <w:p w14:paraId="5D098DB0" w14:textId="77777777" w:rsidR="000A578F" w:rsidRDefault="000A578F" w:rsidP="00F07DCF">
            <w:pPr>
              <w:pStyle w:val="Title"/>
              <w:ind w:left="-198"/>
              <w:rPr>
                <w:sz w:val="24"/>
              </w:rPr>
            </w:pPr>
            <w:r>
              <w:rPr>
                <w:sz w:val="24"/>
              </w:rPr>
              <w:t>$12.00</w:t>
            </w:r>
          </w:p>
        </w:tc>
      </w:tr>
      <w:tr w:rsidR="000A578F" w14:paraId="07FD9AE0" w14:textId="77777777" w:rsidTr="00F07DCF">
        <w:trPr>
          <w:cantSplit/>
          <w:trHeight w:val="287"/>
          <w:tblHeader/>
        </w:trPr>
        <w:tc>
          <w:tcPr>
            <w:tcW w:w="2070" w:type="dxa"/>
            <w:vAlign w:val="center"/>
          </w:tcPr>
          <w:p w14:paraId="1AA6895E" w14:textId="77777777" w:rsidR="000A578F" w:rsidRDefault="000A578F" w:rsidP="00F07DCF">
            <w:pPr>
              <w:pStyle w:val="Title"/>
              <w:ind w:left="-198"/>
              <w:rPr>
                <w:sz w:val="24"/>
              </w:rPr>
            </w:pPr>
            <w:r>
              <w:rPr>
                <w:sz w:val="24"/>
              </w:rPr>
              <w:t>Lunch</w:t>
            </w:r>
          </w:p>
        </w:tc>
        <w:tc>
          <w:tcPr>
            <w:tcW w:w="2790" w:type="dxa"/>
          </w:tcPr>
          <w:p w14:paraId="01F0A52F" w14:textId="77777777" w:rsidR="000A578F" w:rsidRDefault="000A578F" w:rsidP="00F07DCF">
            <w:pPr>
              <w:pStyle w:val="Title"/>
              <w:ind w:left="-198"/>
              <w:rPr>
                <w:sz w:val="24"/>
              </w:rPr>
            </w:pPr>
            <w:r>
              <w:rPr>
                <w:sz w:val="24"/>
              </w:rPr>
              <w:t>$19.00</w:t>
            </w:r>
          </w:p>
        </w:tc>
      </w:tr>
      <w:tr w:rsidR="000A578F" w14:paraId="71AA75B6" w14:textId="77777777" w:rsidTr="00F07DCF">
        <w:trPr>
          <w:cantSplit/>
          <w:trHeight w:val="287"/>
          <w:tblHeader/>
        </w:trPr>
        <w:tc>
          <w:tcPr>
            <w:tcW w:w="2070" w:type="dxa"/>
            <w:vAlign w:val="center"/>
          </w:tcPr>
          <w:p w14:paraId="272B2998" w14:textId="77777777" w:rsidR="000A578F" w:rsidRDefault="000A578F" w:rsidP="00F07DCF">
            <w:pPr>
              <w:pStyle w:val="Title"/>
              <w:ind w:left="-198"/>
              <w:rPr>
                <w:sz w:val="24"/>
              </w:rPr>
            </w:pPr>
            <w:r>
              <w:rPr>
                <w:sz w:val="24"/>
              </w:rPr>
              <w:t>Supper</w:t>
            </w:r>
          </w:p>
        </w:tc>
        <w:tc>
          <w:tcPr>
            <w:tcW w:w="2790" w:type="dxa"/>
          </w:tcPr>
          <w:p w14:paraId="3DE768C0" w14:textId="77777777" w:rsidR="000A578F" w:rsidRDefault="000A578F" w:rsidP="00F07DCF">
            <w:pPr>
              <w:pStyle w:val="Title"/>
              <w:ind w:left="-198"/>
              <w:rPr>
                <w:sz w:val="24"/>
              </w:rPr>
            </w:pPr>
            <w:r>
              <w:rPr>
                <w:sz w:val="24"/>
              </w:rPr>
              <w:t>$28.00</w:t>
            </w:r>
          </w:p>
        </w:tc>
      </w:tr>
    </w:tbl>
    <w:p w14:paraId="7B9A6A8E" w14:textId="6DF6B93A" w:rsidR="000A578F" w:rsidRDefault="000A578F" w:rsidP="000A578F">
      <w:pPr>
        <w:pStyle w:val="FootnoteText"/>
        <w:rPr>
          <w:rFonts w:ascii="Times New Roman" w:hAnsi="Times New Roman"/>
        </w:rPr>
      </w:pPr>
    </w:p>
    <w:p w14:paraId="013E29BD" w14:textId="08B4CAFC" w:rsidR="000A578F" w:rsidRPr="000A578F" w:rsidRDefault="000A578F" w:rsidP="000A578F">
      <w:pPr>
        <w:pStyle w:val="FootnoteText"/>
        <w:numPr>
          <w:ilvl w:val="1"/>
          <w:numId w:val="1"/>
        </w:numPr>
        <w:rPr>
          <w:rFonts w:ascii="Times New Roman" w:hAnsi="Times New Roman"/>
          <w:u w:val="single"/>
        </w:rPr>
      </w:pPr>
      <w:r w:rsidRPr="000A578F">
        <w:rPr>
          <w:rFonts w:ascii="Times New Roman" w:hAnsi="Times New Roman"/>
        </w:rPr>
        <w:t>Agency limits the amount of in-state maximum meal reimbursement for the first and last day of each trip based on times of departure and return.</w:t>
      </w:r>
    </w:p>
    <w:p w14:paraId="5ED55C01" w14:textId="77777777" w:rsidR="000A578F" w:rsidRDefault="000A578F" w:rsidP="00B960F4">
      <w:pPr>
        <w:pStyle w:val="NormalWeb"/>
        <w:spacing w:before="0" w:beforeAutospacing="0" w:after="0" w:afterAutospacing="0"/>
        <w:rPr>
          <w:color w:val="auto"/>
        </w:rPr>
      </w:pPr>
    </w:p>
    <w:tbl>
      <w:tblPr>
        <w:tblW w:w="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0"/>
        <w:gridCol w:w="1274"/>
        <w:gridCol w:w="926"/>
        <w:gridCol w:w="1009"/>
      </w:tblGrid>
      <w:tr w:rsidR="000A578F" w14:paraId="232949A0" w14:textId="77777777" w:rsidTr="00047B87">
        <w:trPr>
          <w:cantSplit/>
          <w:trHeight w:val="50"/>
          <w:jc w:val="center"/>
        </w:trPr>
        <w:tc>
          <w:tcPr>
            <w:tcW w:w="1670" w:type="dxa"/>
            <w:shd w:val="pct12" w:color="auto" w:fill="auto"/>
            <w:vAlign w:val="center"/>
          </w:tcPr>
          <w:p w14:paraId="3A3783E1" w14:textId="77777777" w:rsidR="000A578F" w:rsidRDefault="000A578F" w:rsidP="00047B87">
            <w:pPr>
              <w:pStyle w:val="Title"/>
              <w:rPr>
                <w:b/>
                <w:bCs/>
                <w:sz w:val="24"/>
              </w:rPr>
            </w:pPr>
            <w:r>
              <w:rPr>
                <w:b/>
                <w:bCs/>
                <w:sz w:val="24"/>
              </w:rPr>
              <w:t>Depart At or Before</w:t>
            </w:r>
          </w:p>
        </w:tc>
        <w:tc>
          <w:tcPr>
            <w:tcW w:w="1274" w:type="dxa"/>
            <w:shd w:val="pct12" w:color="auto" w:fill="auto"/>
            <w:vAlign w:val="center"/>
          </w:tcPr>
          <w:p w14:paraId="7ECB2FB1" w14:textId="77777777" w:rsidR="000A578F" w:rsidRDefault="000A578F" w:rsidP="00047B87">
            <w:pPr>
              <w:pStyle w:val="Title"/>
              <w:rPr>
                <w:b/>
                <w:bCs/>
                <w:sz w:val="24"/>
              </w:rPr>
            </w:pPr>
            <w:r>
              <w:rPr>
                <w:b/>
                <w:bCs/>
                <w:sz w:val="24"/>
              </w:rPr>
              <w:t>Breakfast</w:t>
            </w:r>
          </w:p>
        </w:tc>
        <w:tc>
          <w:tcPr>
            <w:tcW w:w="0" w:type="auto"/>
            <w:shd w:val="pct12" w:color="auto" w:fill="auto"/>
            <w:vAlign w:val="center"/>
          </w:tcPr>
          <w:p w14:paraId="53F19B27" w14:textId="77777777" w:rsidR="000A578F" w:rsidRDefault="000A578F" w:rsidP="00047B87">
            <w:pPr>
              <w:pStyle w:val="Title"/>
              <w:rPr>
                <w:b/>
                <w:bCs/>
                <w:sz w:val="24"/>
              </w:rPr>
            </w:pPr>
            <w:r>
              <w:rPr>
                <w:b/>
                <w:bCs/>
                <w:sz w:val="24"/>
              </w:rPr>
              <w:t>Lunch</w:t>
            </w:r>
          </w:p>
        </w:tc>
        <w:tc>
          <w:tcPr>
            <w:tcW w:w="0" w:type="auto"/>
            <w:shd w:val="pct12" w:color="auto" w:fill="auto"/>
            <w:vAlign w:val="center"/>
          </w:tcPr>
          <w:p w14:paraId="76D9F8C3" w14:textId="77777777" w:rsidR="000A578F" w:rsidRDefault="000A578F" w:rsidP="00047B87">
            <w:pPr>
              <w:pStyle w:val="Title"/>
              <w:rPr>
                <w:b/>
                <w:bCs/>
                <w:sz w:val="24"/>
              </w:rPr>
            </w:pPr>
            <w:r>
              <w:rPr>
                <w:b/>
                <w:bCs/>
                <w:sz w:val="24"/>
              </w:rPr>
              <w:t>Supper</w:t>
            </w:r>
          </w:p>
        </w:tc>
      </w:tr>
      <w:tr w:rsidR="000A578F" w14:paraId="2680A8C0" w14:textId="77777777" w:rsidTr="00047B87">
        <w:trPr>
          <w:cantSplit/>
          <w:trHeight w:val="287"/>
          <w:tblHeader/>
          <w:jc w:val="center"/>
        </w:trPr>
        <w:tc>
          <w:tcPr>
            <w:tcW w:w="1670" w:type="dxa"/>
          </w:tcPr>
          <w:p w14:paraId="01FA517A" w14:textId="77777777" w:rsidR="000A578F" w:rsidRDefault="000A578F" w:rsidP="00047B87">
            <w:pPr>
              <w:pStyle w:val="Title"/>
              <w:rPr>
                <w:sz w:val="24"/>
              </w:rPr>
            </w:pPr>
            <w:r>
              <w:rPr>
                <w:sz w:val="24"/>
              </w:rPr>
              <w:t>6:00 a.m.</w:t>
            </w:r>
          </w:p>
        </w:tc>
        <w:tc>
          <w:tcPr>
            <w:tcW w:w="1274" w:type="dxa"/>
          </w:tcPr>
          <w:p w14:paraId="7B145A55" w14:textId="77777777" w:rsidR="000A578F" w:rsidRDefault="000A578F" w:rsidP="00047B87">
            <w:pPr>
              <w:pStyle w:val="Title"/>
              <w:rPr>
                <w:sz w:val="24"/>
              </w:rPr>
            </w:pPr>
            <w:r>
              <w:rPr>
                <w:sz w:val="24"/>
              </w:rPr>
              <w:t>Yes</w:t>
            </w:r>
          </w:p>
        </w:tc>
        <w:tc>
          <w:tcPr>
            <w:tcW w:w="0" w:type="auto"/>
          </w:tcPr>
          <w:p w14:paraId="56DA64BE" w14:textId="77777777" w:rsidR="000A578F" w:rsidRDefault="000A578F" w:rsidP="00047B87">
            <w:pPr>
              <w:pStyle w:val="Title"/>
              <w:rPr>
                <w:sz w:val="24"/>
              </w:rPr>
            </w:pPr>
            <w:r>
              <w:rPr>
                <w:sz w:val="24"/>
              </w:rPr>
              <w:t>Yes</w:t>
            </w:r>
          </w:p>
        </w:tc>
        <w:tc>
          <w:tcPr>
            <w:tcW w:w="0" w:type="auto"/>
          </w:tcPr>
          <w:p w14:paraId="1357B327" w14:textId="77777777" w:rsidR="000A578F" w:rsidRDefault="000A578F" w:rsidP="00047B87">
            <w:pPr>
              <w:pStyle w:val="Title"/>
              <w:rPr>
                <w:sz w:val="24"/>
              </w:rPr>
            </w:pPr>
            <w:r>
              <w:rPr>
                <w:sz w:val="24"/>
              </w:rPr>
              <w:t>Yes</w:t>
            </w:r>
          </w:p>
        </w:tc>
      </w:tr>
      <w:tr w:rsidR="000A578F" w14:paraId="6D11FD4E" w14:textId="77777777" w:rsidTr="00047B87">
        <w:trPr>
          <w:cantSplit/>
          <w:trHeight w:val="287"/>
          <w:tblHeader/>
          <w:jc w:val="center"/>
        </w:trPr>
        <w:tc>
          <w:tcPr>
            <w:tcW w:w="1670" w:type="dxa"/>
          </w:tcPr>
          <w:p w14:paraId="30D68F77" w14:textId="77777777" w:rsidR="000A578F" w:rsidRDefault="000A578F" w:rsidP="00047B87">
            <w:pPr>
              <w:pStyle w:val="Title"/>
              <w:rPr>
                <w:sz w:val="24"/>
              </w:rPr>
            </w:pPr>
            <w:r>
              <w:rPr>
                <w:sz w:val="24"/>
              </w:rPr>
              <w:t>Noon</w:t>
            </w:r>
          </w:p>
        </w:tc>
        <w:tc>
          <w:tcPr>
            <w:tcW w:w="1274" w:type="dxa"/>
          </w:tcPr>
          <w:p w14:paraId="324A872C" w14:textId="77777777" w:rsidR="000A578F" w:rsidRDefault="000A578F" w:rsidP="00047B87">
            <w:pPr>
              <w:pStyle w:val="Title"/>
              <w:rPr>
                <w:sz w:val="24"/>
              </w:rPr>
            </w:pPr>
            <w:r>
              <w:rPr>
                <w:sz w:val="24"/>
              </w:rPr>
              <w:t>No</w:t>
            </w:r>
          </w:p>
        </w:tc>
        <w:tc>
          <w:tcPr>
            <w:tcW w:w="0" w:type="auto"/>
          </w:tcPr>
          <w:p w14:paraId="70306CA3" w14:textId="77777777" w:rsidR="000A578F" w:rsidRDefault="000A578F" w:rsidP="00047B87">
            <w:pPr>
              <w:pStyle w:val="Title"/>
              <w:rPr>
                <w:sz w:val="24"/>
              </w:rPr>
            </w:pPr>
            <w:r>
              <w:rPr>
                <w:sz w:val="24"/>
              </w:rPr>
              <w:t>Yes</w:t>
            </w:r>
          </w:p>
        </w:tc>
        <w:tc>
          <w:tcPr>
            <w:tcW w:w="0" w:type="auto"/>
          </w:tcPr>
          <w:p w14:paraId="0CC49843" w14:textId="77777777" w:rsidR="000A578F" w:rsidRDefault="000A578F" w:rsidP="00047B87">
            <w:pPr>
              <w:pStyle w:val="Title"/>
              <w:rPr>
                <w:sz w:val="24"/>
              </w:rPr>
            </w:pPr>
            <w:r>
              <w:rPr>
                <w:sz w:val="24"/>
              </w:rPr>
              <w:t>Yes</w:t>
            </w:r>
          </w:p>
        </w:tc>
      </w:tr>
      <w:tr w:rsidR="000A578F" w14:paraId="7B1AC68A" w14:textId="77777777" w:rsidTr="00047B87">
        <w:trPr>
          <w:cantSplit/>
          <w:trHeight w:val="287"/>
          <w:tblHeader/>
          <w:jc w:val="center"/>
        </w:trPr>
        <w:tc>
          <w:tcPr>
            <w:tcW w:w="1670" w:type="dxa"/>
          </w:tcPr>
          <w:p w14:paraId="662F97AA" w14:textId="77777777" w:rsidR="000A578F" w:rsidRDefault="000A578F" w:rsidP="00047B87">
            <w:pPr>
              <w:pStyle w:val="Title"/>
              <w:rPr>
                <w:sz w:val="24"/>
              </w:rPr>
            </w:pPr>
            <w:r>
              <w:rPr>
                <w:sz w:val="24"/>
              </w:rPr>
              <w:t>6:00 p.m.</w:t>
            </w:r>
          </w:p>
        </w:tc>
        <w:tc>
          <w:tcPr>
            <w:tcW w:w="1274" w:type="dxa"/>
          </w:tcPr>
          <w:p w14:paraId="4ADA3830" w14:textId="77777777" w:rsidR="000A578F" w:rsidRDefault="000A578F" w:rsidP="00047B87">
            <w:pPr>
              <w:pStyle w:val="Title"/>
              <w:rPr>
                <w:sz w:val="24"/>
              </w:rPr>
            </w:pPr>
            <w:r>
              <w:rPr>
                <w:sz w:val="24"/>
              </w:rPr>
              <w:t>No</w:t>
            </w:r>
          </w:p>
        </w:tc>
        <w:tc>
          <w:tcPr>
            <w:tcW w:w="0" w:type="auto"/>
          </w:tcPr>
          <w:p w14:paraId="30AA64B4" w14:textId="77777777" w:rsidR="000A578F" w:rsidRDefault="000A578F" w:rsidP="00047B87">
            <w:pPr>
              <w:pStyle w:val="Title"/>
              <w:rPr>
                <w:sz w:val="24"/>
              </w:rPr>
            </w:pPr>
            <w:r>
              <w:rPr>
                <w:sz w:val="24"/>
              </w:rPr>
              <w:t>No</w:t>
            </w:r>
          </w:p>
        </w:tc>
        <w:tc>
          <w:tcPr>
            <w:tcW w:w="0" w:type="auto"/>
          </w:tcPr>
          <w:p w14:paraId="13E60A03" w14:textId="77777777" w:rsidR="000A578F" w:rsidRDefault="000A578F" w:rsidP="00047B87">
            <w:pPr>
              <w:pStyle w:val="Title"/>
              <w:rPr>
                <w:sz w:val="24"/>
              </w:rPr>
            </w:pPr>
            <w:r>
              <w:rPr>
                <w:sz w:val="24"/>
              </w:rPr>
              <w:t>Yes</w:t>
            </w:r>
          </w:p>
        </w:tc>
      </w:tr>
    </w:tbl>
    <w:p w14:paraId="4D3F97D7" w14:textId="77777777" w:rsidR="000A578F" w:rsidRDefault="000A578F" w:rsidP="00B960F4">
      <w:pPr>
        <w:pStyle w:val="NormalWeb"/>
        <w:spacing w:before="0" w:beforeAutospacing="0" w:after="0" w:afterAutospacing="0"/>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3"/>
        <w:gridCol w:w="1260"/>
        <w:gridCol w:w="900"/>
        <w:gridCol w:w="1080"/>
      </w:tblGrid>
      <w:tr w:rsidR="000A578F" w14:paraId="3F2EE17A" w14:textId="77777777" w:rsidTr="00047B87">
        <w:trPr>
          <w:jc w:val="center"/>
        </w:trPr>
        <w:tc>
          <w:tcPr>
            <w:tcW w:w="1643" w:type="dxa"/>
            <w:shd w:val="pct12" w:color="auto" w:fill="auto"/>
            <w:vAlign w:val="center"/>
          </w:tcPr>
          <w:p w14:paraId="1BB0E8C0" w14:textId="77777777" w:rsidR="000A578F" w:rsidRDefault="000A578F" w:rsidP="00047B87">
            <w:pPr>
              <w:pStyle w:val="Title"/>
              <w:rPr>
                <w:b/>
                <w:bCs/>
                <w:sz w:val="24"/>
              </w:rPr>
            </w:pPr>
            <w:r>
              <w:rPr>
                <w:b/>
                <w:bCs/>
                <w:sz w:val="24"/>
              </w:rPr>
              <w:t>Return At or After</w:t>
            </w:r>
          </w:p>
        </w:tc>
        <w:tc>
          <w:tcPr>
            <w:tcW w:w="1260" w:type="dxa"/>
            <w:shd w:val="pct12" w:color="auto" w:fill="auto"/>
            <w:vAlign w:val="center"/>
          </w:tcPr>
          <w:p w14:paraId="6CDDD8D3" w14:textId="77777777" w:rsidR="000A578F" w:rsidRDefault="000A578F" w:rsidP="00047B87">
            <w:pPr>
              <w:pStyle w:val="Title"/>
              <w:rPr>
                <w:b/>
                <w:bCs/>
                <w:sz w:val="24"/>
              </w:rPr>
            </w:pPr>
            <w:r>
              <w:rPr>
                <w:b/>
                <w:bCs/>
                <w:sz w:val="24"/>
              </w:rPr>
              <w:t>Breakfast</w:t>
            </w:r>
          </w:p>
        </w:tc>
        <w:tc>
          <w:tcPr>
            <w:tcW w:w="900" w:type="dxa"/>
            <w:shd w:val="pct12" w:color="auto" w:fill="auto"/>
            <w:vAlign w:val="center"/>
          </w:tcPr>
          <w:p w14:paraId="15D41702" w14:textId="77777777" w:rsidR="000A578F" w:rsidRDefault="000A578F" w:rsidP="00047B87">
            <w:pPr>
              <w:pStyle w:val="Title"/>
              <w:rPr>
                <w:b/>
                <w:bCs/>
                <w:sz w:val="24"/>
              </w:rPr>
            </w:pPr>
            <w:r>
              <w:rPr>
                <w:b/>
                <w:bCs/>
                <w:sz w:val="24"/>
              </w:rPr>
              <w:t>Lunch</w:t>
            </w:r>
          </w:p>
        </w:tc>
        <w:tc>
          <w:tcPr>
            <w:tcW w:w="1080" w:type="dxa"/>
            <w:shd w:val="pct12" w:color="auto" w:fill="auto"/>
            <w:vAlign w:val="center"/>
          </w:tcPr>
          <w:p w14:paraId="0483610D" w14:textId="77777777" w:rsidR="000A578F" w:rsidRDefault="000A578F" w:rsidP="00047B87">
            <w:pPr>
              <w:pStyle w:val="Title"/>
              <w:rPr>
                <w:b/>
                <w:bCs/>
                <w:sz w:val="24"/>
              </w:rPr>
            </w:pPr>
            <w:r>
              <w:rPr>
                <w:b/>
                <w:bCs/>
                <w:sz w:val="24"/>
              </w:rPr>
              <w:t>Supper</w:t>
            </w:r>
          </w:p>
        </w:tc>
      </w:tr>
      <w:tr w:rsidR="000A578F" w14:paraId="2917BC60" w14:textId="77777777" w:rsidTr="00047B87">
        <w:trPr>
          <w:jc w:val="center"/>
        </w:trPr>
        <w:tc>
          <w:tcPr>
            <w:tcW w:w="1643" w:type="dxa"/>
          </w:tcPr>
          <w:p w14:paraId="048CD02D" w14:textId="77777777" w:rsidR="000A578F" w:rsidRDefault="000A578F" w:rsidP="00047B87">
            <w:pPr>
              <w:pStyle w:val="Title"/>
              <w:rPr>
                <w:sz w:val="24"/>
              </w:rPr>
            </w:pPr>
            <w:r>
              <w:rPr>
                <w:sz w:val="24"/>
              </w:rPr>
              <w:t>7:00 a.m.</w:t>
            </w:r>
          </w:p>
        </w:tc>
        <w:tc>
          <w:tcPr>
            <w:tcW w:w="1260" w:type="dxa"/>
          </w:tcPr>
          <w:p w14:paraId="291B136F" w14:textId="77777777" w:rsidR="000A578F" w:rsidRDefault="000A578F" w:rsidP="00047B87">
            <w:pPr>
              <w:pStyle w:val="Title"/>
              <w:rPr>
                <w:sz w:val="24"/>
              </w:rPr>
            </w:pPr>
            <w:r>
              <w:rPr>
                <w:sz w:val="24"/>
              </w:rPr>
              <w:t>Yes</w:t>
            </w:r>
          </w:p>
        </w:tc>
        <w:tc>
          <w:tcPr>
            <w:tcW w:w="900" w:type="dxa"/>
          </w:tcPr>
          <w:p w14:paraId="0EC54EF0" w14:textId="77777777" w:rsidR="000A578F" w:rsidRDefault="000A578F" w:rsidP="00047B87">
            <w:pPr>
              <w:pStyle w:val="Title"/>
              <w:rPr>
                <w:sz w:val="24"/>
              </w:rPr>
            </w:pPr>
            <w:r>
              <w:rPr>
                <w:sz w:val="24"/>
              </w:rPr>
              <w:t>No</w:t>
            </w:r>
          </w:p>
        </w:tc>
        <w:tc>
          <w:tcPr>
            <w:tcW w:w="1080" w:type="dxa"/>
          </w:tcPr>
          <w:p w14:paraId="4271F6D9" w14:textId="77777777" w:rsidR="000A578F" w:rsidRDefault="000A578F" w:rsidP="00047B87">
            <w:pPr>
              <w:pStyle w:val="Title"/>
              <w:rPr>
                <w:sz w:val="24"/>
              </w:rPr>
            </w:pPr>
            <w:r>
              <w:rPr>
                <w:sz w:val="24"/>
              </w:rPr>
              <w:t>No</w:t>
            </w:r>
          </w:p>
        </w:tc>
      </w:tr>
      <w:tr w:rsidR="000A578F" w14:paraId="1E32E49E" w14:textId="77777777" w:rsidTr="00047B87">
        <w:trPr>
          <w:jc w:val="center"/>
        </w:trPr>
        <w:tc>
          <w:tcPr>
            <w:tcW w:w="1643" w:type="dxa"/>
          </w:tcPr>
          <w:p w14:paraId="0EA264AD" w14:textId="77777777" w:rsidR="000A578F" w:rsidRDefault="000A578F" w:rsidP="00047B87">
            <w:pPr>
              <w:pStyle w:val="Title"/>
              <w:rPr>
                <w:sz w:val="24"/>
              </w:rPr>
            </w:pPr>
            <w:r>
              <w:rPr>
                <w:sz w:val="24"/>
              </w:rPr>
              <w:t>1:00 p.m.</w:t>
            </w:r>
          </w:p>
        </w:tc>
        <w:tc>
          <w:tcPr>
            <w:tcW w:w="1260" w:type="dxa"/>
          </w:tcPr>
          <w:p w14:paraId="06FD045D" w14:textId="77777777" w:rsidR="000A578F" w:rsidRDefault="000A578F" w:rsidP="00047B87">
            <w:pPr>
              <w:pStyle w:val="Title"/>
              <w:rPr>
                <w:sz w:val="24"/>
              </w:rPr>
            </w:pPr>
            <w:r>
              <w:rPr>
                <w:sz w:val="24"/>
              </w:rPr>
              <w:t>Yes</w:t>
            </w:r>
          </w:p>
        </w:tc>
        <w:tc>
          <w:tcPr>
            <w:tcW w:w="900" w:type="dxa"/>
          </w:tcPr>
          <w:p w14:paraId="339D0A26" w14:textId="77777777" w:rsidR="000A578F" w:rsidRDefault="000A578F" w:rsidP="00047B87">
            <w:pPr>
              <w:pStyle w:val="Title"/>
              <w:rPr>
                <w:sz w:val="24"/>
              </w:rPr>
            </w:pPr>
            <w:r>
              <w:rPr>
                <w:sz w:val="24"/>
              </w:rPr>
              <w:t>Yes</w:t>
            </w:r>
          </w:p>
        </w:tc>
        <w:tc>
          <w:tcPr>
            <w:tcW w:w="1080" w:type="dxa"/>
          </w:tcPr>
          <w:p w14:paraId="2A9B2DA5" w14:textId="77777777" w:rsidR="000A578F" w:rsidRDefault="000A578F" w:rsidP="00047B87">
            <w:pPr>
              <w:pStyle w:val="Title"/>
              <w:rPr>
                <w:sz w:val="24"/>
              </w:rPr>
            </w:pPr>
            <w:r>
              <w:rPr>
                <w:sz w:val="24"/>
              </w:rPr>
              <w:t>No</w:t>
            </w:r>
          </w:p>
        </w:tc>
      </w:tr>
      <w:tr w:rsidR="000A578F" w14:paraId="1CC98D5C" w14:textId="77777777" w:rsidTr="00047B87">
        <w:trPr>
          <w:jc w:val="center"/>
        </w:trPr>
        <w:tc>
          <w:tcPr>
            <w:tcW w:w="1643" w:type="dxa"/>
          </w:tcPr>
          <w:p w14:paraId="2179346D" w14:textId="77777777" w:rsidR="000A578F" w:rsidRDefault="000A578F" w:rsidP="00047B87">
            <w:pPr>
              <w:pStyle w:val="Title"/>
              <w:rPr>
                <w:sz w:val="24"/>
              </w:rPr>
            </w:pPr>
            <w:r>
              <w:rPr>
                <w:sz w:val="24"/>
              </w:rPr>
              <w:t>7:00 p.m.</w:t>
            </w:r>
          </w:p>
        </w:tc>
        <w:tc>
          <w:tcPr>
            <w:tcW w:w="1260" w:type="dxa"/>
          </w:tcPr>
          <w:p w14:paraId="41DD07D3" w14:textId="77777777" w:rsidR="000A578F" w:rsidRDefault="000A578F" w:rsidP="00047B87">
            <w:pPr>
              <w:pStyle w:val="Title"/>
              <w:rPr>
                <w:sz w:val="24"/>
              </w:rPr>
            </w:pPr>
            <w:r>
              <w:rPr>
                <w:sz w:val="24"/>
              </w:rPr>
              <w:t>Yes</w:t>
            </w:r>
          </w:p>
        </w:tc>
        <w:tc>
          <w:tcPr>
            <w:tcW w:w="900" w:type="dxa"/>
          </w:tcPr>
          <w:p w14:paraId="5781F567" w14:textId="77777777" w:rsidR="000A578F" w:rsidRDefault="000A578F" w:rsidP="00047B87">
            <w:pPr>
              <w:pStyle w:val="Title"/>
              <w:rPr>
                <w:sz w:val="24"/>
              </w:rPr>
            </w:pPr>
            <w:r>
              <w:rPr>
                <w:sz w:val="24"/>
              </w:rPr>
              <w:t>Yes</w:t>
            </w:r>
          </w:p>
        </w:tc>
        <w:tc>
          <w:tcPr>
            <w:tcW w:w="1080" w:type="dxa"/>
          </w:tcPr>
          <w:p w14:paraId="2FB062C3" w14:textId="77777777" w:rsidR="000A578F" w:rsidRDefault="000A578F" w:rsidP="00047B87">
            <w:pPr>
              <w:pStyle w:val="Title"/>
              <w:rPr>
                <w:sz w:val="24"/>
              </w:rPr>
            </w:pPr>
            <w:r>
              <w:rPr>
                <w:sz w:val="24"/>
              </w:rPr>
              <w:t>Yes</w:t>
            </w:r>
          </w:p>
        </w:tc>
      </w:tr>
    </w:tbl>
    <w:p w14:paraId="7B40D6F0" w14:textId="77777777" w:rsidR="000A578F" w:rsidRDefault="000A578F" w:rsidP="000A578F">
      <w:pPr>
        <w:pStyle w:val="NormalWeb"/>
        <w:spacing w:before="0" w:beforeAutospacing="0" w:after="0" w:afterAutospacing="0"/>
        <w:rPr>
          <w:color w:val="auto"/>
        </w:rPr>
      </w:pPr>
    </w:p>
    <w:p w14:paraId="1D275356" w14:textId="0C17691B" w:rsidR="000A578F" w:rsidRPr="000A578F" w:rsidRDefault="000A578F" w:rsidP="000A578F">
      <w:pPr>
        <w:pStyle w:val="FootnoteText"/>
        <w:numPr>
          <w:ilvl w:val="1"/>
          <w:numId w:val="1"/>
        </w:numPr>
        <w:rPr>
          <w:rFonts w:ascii="Times New Roman" w:hAnsi="Times New Roman"/>
          <w:u w:val="single"/>
        </w:rPr>
      </w:pPr>
      <w:r w:rsidRPr="004C1960">
        <w:rPr>
          <w:rFonts w:ascii="Times New Roman" w:hAnsi="Times New Roman"/>
        </w:rPr>
        <w:t>Meal receipts are required for foreign travel</w:t>
      </w:r>
      <w:r>
        <w:rPr>
          <w:rFonts w:ascii="Times New Roman" w:hAnsi="Times New Roman"/>
        </w:rPr>
        <w:t>.</w:t>
      </w:r>
      <w:r w:rsidRPr="004C1960">
        <w:rPr>
          <w:rFonts w:ascii="Times New Roman" w:hAnsi="Times New Roman"/>
        </w:rPr>
        <w:t xml:space="preserve"> </w:t>
      </w:r>
      <w:r>
        <w:rPr>
          <w:rFonts w:ascii="Times New Roman" w:hAnsi="Times New Roman"/>
        </w:rPr>
        <w:t xml:space="preserve"> </w:t>
      </w:r>
      <w:r w:rsidRPr="004C1960">
        <w:rPr>
          <w:rFonts w:ascii="Times New Roman" w:hAnsi="Times New Roman"/>
        </w:rPr>
        <w:t>Meal receipts are not required for travel within the continental United States</w:t>
      </w:r>
      <w:r>
        <w:rPr>
          <w:rFonts w:ascii="Times New Roman" w:hAnsi="Times New Roman"/>
        </w:rPr>
        <w:t>, Canada or Mexico.</w:t>
      </w:r>
    </w:p>
    <w:p w14:paraId="7927F644" w14:textId="77777777" w:rsidR="000A578F" w:rsidRPr="000A578F" w:rsidRDefault="000A578F" w:rsidP="000A578F">
      <w:pPr>
        <w:pStyle w:val="FootnoteText"/>
        <w:rPr>
          <w:rFonts w:ascii="Times New Roman" w:hAnsi="Times New Roman"/>
          <w:u w:val="single"/>
        </w:rPr>
      </w:pPr>
    </w:p>
    <w:p w14:paraId="5FD867EA" w14:textId="56B5C881" w:rsidR="000A578F" w:rsidRPr="000A578F" w:rsidRDefault="000A578F" w:rsidP="000A578F">
      <w:pPr>
        <w:pStyle w:val="FootnoteText"/>
        <w:numPr>
          <w:ilvl w:val="1"/>
          <w:numId w:val="1"/>
        </w:numPr>
        <w:rPr>
          <w:rFonts w:ascii="Times New Roman" w:hAnsi="Times New Roman"/>
          <w:u w:val="single"/>
        </w:rPr>
      </w:pPr>
      <w:r w:rsidRPr="00D75230">
        <w:rPr>
          <w:rFonts w:ascii="Times New Roman" w:hAnsi="Times New Roman"/>
        </w:rPr>
        <w:t xml:space="preserve">If the distance between the employee’s headquarters and the travel destination is 60 miles or less, prior approval of overnight lodging by the department head (or incident commander if on an emergency response assignment) is required.  </w:t>
      </w:r>
      <w:r w:rsidR="00E24565">
        <w:rPr>
          <w:rFonts w:ascii="Times New Roman" w:hAnsi="Times New Roman"/>
        </w:rPr>
        <w:t>The duty point must be outside the employee’s designated headquarters location.</w:t>
      </w:r>
    </w:p>
    <w:p w14:paraId="33CFB0A2" w14:textId="77777777" w:rsidR="000A578F" w:rsidRPr="000A578F" w:rsidRDefault="000A578F" w:rsidP="000A578F">
      <w:pPr>
        <w:pStyle w:val="FootnoteText"/>
        <w:rPr>
          <w:rFonts w:ascii="Times New Roman" w:hAnsi="Times New Roman"/>
          <w:u w:val="single"/>
        </w:rPr>
      </w:pPr>
    </w:p>
    <w:p w14:paraId="7FFC040E" w14:textId="73BEEFB4" w:rsidR="000A578F" w:rsidRPr="000A578F" w:rsidRDefault="000A578F" w:rsidP="000A578F">
      <w:pPr>
        <w:pStyle w:val="FootnoteText"/>
        <w:numPr>
          <w:ilvl w:val="1"/>
          <w:numId w:val="1"/>
        </w:numPr>
        <w:rPr>
          <w:rFonts w:ascii="Times New Roman" w:hAnsi="Times New Roman"/>
          <w:u w:val="single"/>
        </w:rPr>
      </w:pPr>
      <w:r w:rsidRPr="00631BE9">
        <w:rPr>
          <w:rFonts w:ascii="Times New Roman" w:hAnsi="Times New Roman"/>
        </w:rPr>
        <w:t xml:space="preserve">Reimbursable mileage </w:t>
      </w:r>
      <w:r>
        <w:rPr>
          <w:rFonts w:ascii="Times New Roman" w:hAnsi="Times New Roman"/>
        </w:rPr>
        <w:t>is</w:t>
      </w:r>
      <w:r w:rsidRPr="00631BE9">
        <w:rPr>
          <w:rFonts w:ascii="Times New Roman" w:hAnsi="Times New Roman"/>
        </w:rPr>
        <w:t xml:space="preserve"> determined using the electronic mapping service provided by</w:t>
      </w:r>
      <w:r>
        <w:rPr>
          <w:rFonts w:ascii="Times New Roman" w:hAnsi="Times New Roman"/>
        </w:rPr>
        <w:t xml:space="preserve"> </w:t>
      </w:r>
      <w:hyperlink r:id="rId21" w:history="1">
        <w:r w:rsidRPr="006B3A81">
          <w:rPr>
            <w:rStyle w:val="Hyperlink"/>
            <w:rFonts w:ascii="Times New Roman" w:hAnsi="Times New Roman"/>
          </w:rPr>
          <w:t>MapQuest</w:t>
        </w:r>
      </w:hyperlink>
      <w:r w:rsidRPr="00631BE9">
        <w:rPr>
          <w:rFonts w:ascii="Times New Roman" w:hAnsi="Times New Roman"/>
        </w:rPr>
        <w:t>.</w:t>
      </w:r>
    </w:p>
    <w:p w14:paraId="7F3449FA" w14:textId="77777777" w:rsidR="0024538F" w:rsidRDefault="0024538F" w:rsidP="000A578F">
      <w:pPr>
        <w:pStyle w:val="FootnoteText"/>
        <w:rPr>
          <w:rFonts w:ascii="Times New Roman" w:hAnsi="Times New Roman"/>
          <w:u w:val="single"/>
        </w:rPr>
      </w:pPr>
    </w:p>
    <w:p w14:paraId="1406EA0B" w14:textId="7BFE3F58" w:rsidR="00D302DA" w:rsidRPr="00B960F4" w:rsidRDefault="00460B4A" w:rsidP="00CD08DC">
      <w:pPr>
        <w:pStyle w:val="ListParagraph"/>
        <w:numPr>
          <w:ilvl w:val="0"/>
          <w:numId w:val="1"/>
        </w:numPr>
      </w:pPr>
      <w:r w:rsidRPr="00CD08DC">
        <w:rPr>
          <w:u w:val="single"/>
        </w:rPr>
        <w:t>TAXES</w:t>
      </w:r>
    </w:p>
    <w:p w14:paraId="63D11C76" w14:textId="77777777" w:rsidR="00B960F4" w:rsidRPr="00B960F4" w:rsidRDefault="00B960F4" w:rsidP="00B960F4"/>
    <w:p w14:paraId="0A15A8ED" w14:textId="0AC432CF" w:rsidR="00B960F4" w:rsidRDefault="00B960F4" w:rsidP="00B960F4">
      <w:pPr>
        <w:pStyle w:val="ListParagraph"/>
        <w:numPr>
          <w:ilvl w:val="1"/>
          <w:numId w:val="1"/>
        </w:numPr>
      </w:pPr>
      <w:r>
        <w:t>Agency</w:t>
      </w:r>
      <w:r w:rsidRPr="00CD5575">
        <w:t xml:space="preserve"> employees traveling in Texas are exempt from the state portion of hotel occupancy </w:t>
      </w:r>
      <w:r w:rsidR="004411F1" w:rsidRPr="00CD5575">
        <w:t>tax but</w:t>
      </w:r>
      <w:r w:rsidRPr="00CD5575">
        <w:t xml:space="preserve"> are subject to the local portion</w:t>
      </w:r>
      <w:r w:rsidR="003214C6" w:rsidRPr="00CD5575">
        <w:t xml:space="preserve">.  </w:t>
      </w:r>
      <w:r w:rsidRPr="00CD5575">
        <w:t xml:space="preserve">Employees should provide a </w:t>
      </w:r>
      <w:hyperlink r:id="rId22" w:history="1">
        <w:r w:rsidRPr="00CD5575">
          <w:rPr>
            <w:rStyle w:val="Hyperlink"/>
          </w:rPr>
          <w:t>Texas Hotel Occupancy Tax Exemption Certificate</w:t>
        </w:r>
      </w:hyperlink>
      <w:r w:rsidRPr="00CD5575">
        <w:t xml:space="preserve"> when checking in and should check the hotel invoice when checking out to ensure that taxes are properly charged.  </w:t>
      </w:r>
      <w:r>
        <w:t>Agency</w:t>
      </w:r>
      <w:r w:rsidRPr="00CD5575">
        <w:t xml:space="preserve"> employees traveling outside of Texas are not exempt from other states’ taxes and will be reimbursed for his or her required payment of hotel occupancy taxes.</w:t>
      </w:r>
    </w:p>
    <w:p w14:paraId="6BD243DF" w14:textId="77777777" w:rsidR="00B960F4" w:rsidRDefault="00B960F4" w:rsidP="00B960F4"/>
    <w:p w14:paraId="0120A543" w14:textId="180BDA1B" w:rsidR="00B960F4" w:rsidRDefault="00B960F4" w:rsidP="00B960F4">
      <w:pPr>
        <w:pStyle w:val="ListParagraph"/>
        <w:numPr>
          <w:ilvl w:val="1"/>
          <w:numId w:val="1"/>
        </w:numPr>
      </w:pPr>
      <w:r>
        <w:t xml:space="preserve">The agency is exempt from sales tax on goods or services purchased directly.  Employees should provide a </w:t>
      </w:r>
      <w:hyperlink r:id="rId23" w:history="1">
        <w:r w:rsidRPr="00091F3F">
          <w:rPr>
            <w:rStyle w:val="Hyperlink"/>
          </w:rPr>
          <w:t>Texas Sales and Use Tax Exemption Certificate</w:t>
        </w:r>
      </w:hyperlink>
      <w:r>
        <w:t xml:space="preserve"> to the provider to claim the exemption.</w:t>
      </w:r>
    </w:p>
    <w:p w14:paraId="19BAF290" w14:textId="77777777" w:rsidR="00B960F4" w:rsidRDefault="00B960F4" w:rsidP="00B960F4"/>
    <w:p w14:paraId="05CCACBF" w14:textId="62D79839" w:rsidR="00B960F4" w:rsidRDefault="00B960F4" w:rsidP="00B960F4">
      <w:pPr>
        <w:pStyle w:val="ListParagraph"/>
        <w:numPr>
          <w:ilvl w:val="1"/>
          <w:numId w:val="1"/>
        </w:numPr>
      </w:pPr>
      <w:r>
        <w:t>Employees may be reimbursed for sales tax paid for travel expenses for which the traveler, rather than the agency, is the consumer and payer.  For example, sales tax is reimbursable for individual meals, parking charges and hotel room internet charges</w:t>
      </w:r>
    </w:p>
    <w:p w14:paraId="684D62F6" w14:textId="77777777" w:rsidR="00460B4A" w:rsidRDefault="00460B4A" w:rsidP="00460B4A"/>
    <w:p w14:paraId="3DC38004" w14:textId="77777777" w:rsidR="00460B4A" w:rsidRPr="004C1960" w:rsidRDefault="00460B4A" w:rsidP="00D302DA"/>
    <w:p w14:paraId="1012E283" w14:textId="6D6BE655" w:rsidR="00364A06" w:rsidRDefault="00D302DA" w:rsidP="000522A0">
      <w:pPr>
        <w:jc w:val="center"/>
      </w:pPr>
      <w:r w:rsidRPr="004C1960">
        <w:t xml:space="preserve">CONTACT:  </w:t>
      </w:r>
      <w:hyperlink r:id="rId24" w:history="1">
        <w:r w:rsidR="006B3A81">
          <w:rPr>
            <w:rStyle w:val="Hyperlink"/>
          </w:rPr>
          <w:t>Budgets and Accounting Department Head</w:t>
        </w:r>
      </w:hyperlink>
      <w:r w:rsidRPr="004C1960">
        <w:t xml:space="preserve">, </w:t>
      </w:r>
      <w:r w:rsidR="007E0C5C">
        <w:t>(</w:t>
      </w:r>
      <w:r w:rsidRPr="004C1960">
        <w:t>979</w:t>
      </w:r>
      <w:r w:rsidR="007E0C5C">
        <w:t xml:space="preserve">) </w:t>
      </w:r>
      <w:r w:rsidRPr="004C1960">
        <w:t>458-6640</w:t>
      </w:r>
    </w:p>
    <w:sectPr w:rsidR="00364A06" w:rsidSect="009375A3">
      <w:footerReference w:type="default" r:id="rId25"/>
      <w:pgSz w:w="12240" w:h="15840" w:code="1"/>
      <w:pgMar w:top="810" w:right="1440" w:bottom="1260" w:left="1440" w:header="720" w:footer="624"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CEBB0" w14:textId="77777777" w:rsidR="00122EBA" w:rsidRDefault="00122EBA">
      <w:r>
        <w:separator/>
      </w:r>
    </w:p>
  </w:endnote>
  <w:endnote w:type="continuationSeparator" w:id="0">
    <w:p w14:paraId="2ED77EAF" w14:textId="77777777" w:rsidR="00122EBA" w:rsidRDefault="00122EBA">
      <w:r>
        <w:continuationSeparator/>
      </w:r>
    </w:p>
  </w:endnote>
  <w:endnote w:type="continuationNotice" w:id="1">
    <w:p w14:paraId="22001B3B" w14:textId="77777777" w:rsidR="00E15C6D" w:rsidRDefault="00E15C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812" w14:textId="0242DB20" w:rsidR="00122EBA" w:rsidRDefault="00122EBA" w:rsidP="009C2F2E">
    <w:pPr>
      <w:pStyle w:val="Footer"/>
      <w:jc w:val="center"/>
    </w:pPr>
    <w:r>
      <w:t xml:space="preserve">Page </w:t>
    </w:r>
    <w:r>
      <w:fldChar w:fldCharType="begin"/>
    </w:r>
    <w:r>
      <w:instrText xml:space="preserve"> PAGE </w:instrText>
    </w:r>
    <w:r>
      <w:fldChar w:fldCharType="separate"/>
    </w:r>
    <w:r w:rsidR="00CA76C5">
      <w:rPr>
        <w:noProof/>
      </w:rPr>
      <w:t>8</w:t>
    </w:r>
    <w:r>
      <w:rPr>
        <w:noProof/>
      </w:rPr>
      <w:fldChar w:fldCharType="end"/>
    </w:r>
    <w:r>
      <w:t xml:space="preserve"> of </w:t>
    </w:r>
    <w:r w:rsidR="00EF3426">
      <w:rPr>
        <w:noProof/>
      </w:rPr>
      <w:fldChar w:fldCharType="begin"/>
    </w:r>
    <w:r w:rsidR="00EF3426">
      <w:rPr>
        <w:noProof/>
      </w:rPr>
      <w:instrText xml:space="preserve"> NUMPAGES </w:instrText>
    </w:r>
    <w:r w:rsidR="00EF3426">
      <w:rPr>
        <w:noProof/>
      </w:rPr>
      <w:fldChar w:fldCharType="separate"/>
    </w:r>
    <w:r w:rsidR="00CA76C5">
      <w:rPr>
        <w:noProof/>
      </w:rPr>
      <w:t>10</w:t>
    </w:r>
    <w:r w:rsidR="00EF342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60770" w14:textId="77777777" w:rsidR="00122EBA" w:rsidRDefault="00122EBA">
      <w:r>
        <w:separator/>
      </w:r>
    </w:p>
  </w:footnote>
  <w:footnote w:type="continuationSeparator" w:id="0">
    <w:p w14:paraId="7D55F6BA" w14:textId="77777777" w:rsidR="00122EBA" w:rsidRDefault="00122EBA">
      <w:r>
        <w:continuationSeparator/>
      </w:r>
    </w:p>
  </w:footnote>
  <w:footnote w:type="continuationNotice" w:id="1">
    <w:p w14:paraId="7184BA55" w14:textId="77777777" w:rsidR="00E15C6D" w:rsidRDefault="00E15C6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09D7"/>
    <w:multiLevelType w:val="multilevel"/>
    <w:tmpl w:val="FF78333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75D2B76"/>
    <w:multiLevelType w:val="hybridMultilevel"/>
    <w:tmpl w:val="8B2A659A"/>
    <w:lvl w:ilvl="0" w:tplc="CE88D9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B23847"/>
    <w:multiLevelType w:val="hybridMultilevel"/>
    <w:tmpl w:val="8B2A659A"/>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 w15:restartNumberingAfterBreak="0">
    <w:nsid w:val="111168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6C1B56"/>
    <w:multiLevelType w:val="hybridMultilevel"/>
    <w:tmpl w:val="FF306488"/>
    <w:lvl w:ilvl="0" w:tplc="868C4D5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BB3650E"/>
    <w:multiLevelType w:val="multilevel"/>
    <w:tmpl w:val="91A84BF8"/>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15:restartNumberingAfterBreak="0">
    <w:nsid w:val="242C63F0"/>
    <w:multiLevelType w:val="hybridMultilevel"/>
    <w:tmpl w:val="8DBE15F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2B4825AA"/>
    <w:multiLevelType w:val="multilevel"/>
    <w:tmpl w:val="858831D0"/>
    <w:lvl w:ilvl="0">
      <w:start w:val="1"/>
      <w:numFmt w:val="lowerLetter"/>
      <w:lvlText w:val="%1."/>
      <w:lvlJc w:val="left"/>
      <w:pPr>
        <w:tabs>
          <w:tab w:val="num" w:pos="1800"/>
        </w:tabs>
        <w:ind w:left="180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8" w15:restartNumberingAfterBreak="0">
    <w:nsid w:val="2BE526FB"/>
    <w:multiLevelType w:val="multilevel"/>
    <w:tmpl w:val="2EDC0DF2"/>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309037E5"/>
    <w:multiLevelType w:val="hybridMultilevel"/>
    <w:tmpl w:val="8DBE15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6750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FC3B5E"/>
    <w:multiLevelType w:val="hybridMultilevel"/>
    <w:tmpl w:val="6B42364C"/>
    <w:lvl w:ilvl="0" w:tplc="1846B2CA">
      <w:start w:val="4"/>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19788C"/>
    <w:multiLevelType w:val="hybridMultilevel"/>
    <w:tmpl w:val="D64253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670488"/>
    <w:multiLevelType w:val="hybridMultilevel"/>
    <w:tmpl w:val="0B90E7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13E0C5E"/>
    <w:multiLevelType w:val="hybridMultilevel"/>
    <w:tmpl w:val="D6D67650"/>
    <w:lvl w:ilvl="0" w:tplc="140C8D8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35C318F"/>
    <w:multiLevelType w:val="hybridMultilevel"/>
    <w:tmpl w:val="45928028"/>
    <w:lvl w:ilvl="0" w:tplc="8A2ADF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010000D"/>
    <w:multiLevelType w:val="hybridMultilevel"/>
    <w:tmpl w:val="D8249ACC"/>
    <w:lvl w:ilvl="0" w:tplc="7D2A5A4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0B015F7"/>
    <w:multiLevelType w:val="hybridMultilevel"/>
    <w:tmpl w:val="B5F612C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2056663586">
    <w:abstractNumId w:val="5"/>
  </w:num>
  <w:num w:numId="2" w16cid:durableId="1739474746">
    <w:abstractNumId w:val="0"/>
  </w:num>
  <w:num w:numId="3" w16cid:durableId="1142846485">
    <w:abstractNumId w:val="8"/>
  </w:num>
  <w:num w:numId="4" w16cid:durableId="653029676">
    <w:abstractNumId w:val="7"/>
  </w:num>
  <w:num w:numId="5" w16cid:durableId="1179735730">
    <w:abstractNumId w:val="4"/>
  </w:num>
  <w:num w:numId="6" w16cid:durableId="2030141002">
    <w:abstractNumId w:val="14"/>
  </w:num>
  <w:num w:numId="7" w16cid:durableId="520781444">
    <w:abstractNumId w:val="12"/>
  </w:num>
  <w:num w:numId="8" w16cid:durableId="532500938">
    <w:abstractNumId w:val="10"/>
  </w:num>
  <w:num w:numId="9" w16cid:durableId="478618703">
    <w:abstractNumId w:val="3"/>
  </w:num>
  <w:num w:numId="10" w16cid:durableId="1793670067">
    <w:abstractNumId w:val="15"/>
  </w:num>
  <w:num w:numId="11" w16cid:durableId="1647204886">
    <w:abstractNumId w:val="17"/>
  </w:num>
  <w:num w:numId="12" w16cid:durableId="894388293">
    <w:abstractNumId w:val="13"/>
  </w:num>
  <w:num w:numId="13" w16cid:durableId="2053994716">
    <w:abstractNumId w:val="9"/>
  </w:num>
  <w:num w:numId="14" w16cid:durableId="792940657">
    <w:abstractNumId w:val="6"/>
  </w:num>
  <w:num w:numId="15" w16cid:durableId="1447040800">
    <w:abstractNumId w:val="11"/>
  </w:num>
  <w:num w:numId="16" w16cid:durableId="1549680973">
    <w:abstractNumId w:val="1"/>
  </w:num>
  <w:num w:numId="17" w16cid:durableId="1070343057">
    <w:abstractNumId w:val="2"/>
  </w:num>
  <w:num w:numId="18" w16cid:durableId="97059757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dTXfShqZtebSbzcsS+fQgpA6ee+zOfbSpSULGmdfHZd0PAht6PVRNCouEdYaWeVp8bQhsZ5vZXz6zLve0wnYdA==" w:salt="ItQVhc7sclwF/i21UxxNiQ=="/>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191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A06"/>
    <w:rsid w:val="00005049"/>
    <w:rsid w:val="00007349"/>
    <w:rsid w:val="000149FA"/>
    <w:rsid w:val="000207EF"/>
    <w:rsid w:val="00023928"/>
    <w:rsid w:val="000522A0"/>
    <w:rsid w:val="0006242E"/>
    <w:rsid w:val="00064258"/>
    <w:rsid w:val="00064B92"/>
    <w:rsid w:val="00074F97"/>
    <w:rsid w:val="000806FA"/>
    <w:rsid w:val="00081F4E"/>
    <w:rsid w:val="00082564"/>
    <w:rsid w:val="00091F3F"/>
    <w:rsid w:val="000A10B0"/>
    <w:rsid w:val="000A578F"/>
    <w:rsid w:val="000A6BF4"/>
    <w:rsid w:val="000C5DD5"/>
    <w:rsid w:val="000D2874"/>
    <w:rsid w:val="000E1568"/>
    <w:rsid w:val="000E1B60"/>
    <w:rsid w:val="00120E1F"/>
    <w:rsid w:val="00122EBA"/>
    <w:rsid w:val="00127461"/>
    <w:rsid w:val="0013216A"/>
    <w:rsid w:val="00132410"/>
    <w:rsid w:val="001479E6"/>
    <w:rsid w:val="00171333"/>
    <w:rsid w:val="001723AC"/>
    <w:rsid w:val="0017258E"/>
    <w:rsid w:val="001845DA"/>
    <w:rsid w:val="001955C3"/>
    <w:rsid w:val="00195923"/>
    <w:rsid w:val="001A2F9E"/>
    <w:rsid w:val="001B6122"/>
    <w:rsid w:val="001C7C17"/>
    <w:rsid w:val="001D5E17"/>
    <w:rsid w:val="001E1D41"/>
    <w:rsid w:val="001E484D"/>
    <w:rsid w:val="001F0C88"/>
    <w:rsid w:val="001F3A90"/>
    <w:rsid w:val="00201B17"/>
    <w:rsid w:val="00205DFC"/>
    <w:rsid w:val="002063FA"/>
    <w:rsid w:val="00212072"/>
    <w:rsid w:val="00214DA3"/>
    <w:rsid w:val="002155C4"/>
    <w:rsid w:val="00217059"/>
    <w:rsid w:val="00217E80"/>
    <w:rsid w:val="00227DB9"/>
    <w:rsid w:val="00231ADA"/>
    <w:rsid w:val="00232A0B"/>
    <w:rsid w:val="00235D57"/>
    <w:rsid w:val="0023697A"/>
    <w:rsid w:val="00237DBC"/>
    <w:rsid w:val="00241849"/>
    <w:rsid w:val="0024538F"/>
    <w:rsid w:val="0025243A"/>
    <w:rsid w:val="002568C3"/>
    <w:rsid w:val="00262B9E"/>
    <w:rsid w:val="00263D26"/>
    <w:rsid w:val="00271C8A"/>
    <w:rsid w:val="00272715"/>
    <w:rsid w:val="0027548B"/>
    <w:rsid w:val="002770EB"/>
    <w:rsid w:val="0028474C"/>
    <w:rsid w:val="002A4F08"/>
    <w:rsid w:val="002E156B"/>
    <w:rsid w:val="002F2939"/>
    <w:rsid w:val="0030281B"/>
    <w:rsid w:val="003075F9"/>
    <w:rsid w:val="00317518"/>
    <w:rsid w:val="003214C6"/>
    <w:rsid w:val="00336FD3"/>
    <w:rsid w:val="00342D8E"/>
    <w:rsid w:val="00347C5B"/>
    <w:rsid w:val="00347D08"/>
    <w:rsid w:val="00350247"/>
    <w:rsid w:val="003558B9"/>
    <w:rsid w:val="003639F8"/>
    <w:rsid w:val="00364A06"/>
    <w:rsid w:val="003669C0"/>
    <w:rsid w:val="0037418B"/>
    <w:rsid w:val="00375AE6"/>
    <w:rsid w:val="003764A2"/>
    <w:rsid w:val="00386517"/>
    <w:rsid w:val="003872B9"/>
    <w:rsid w:val="003A51D7"/>
    <w:rsid w:val="003A72A3"/>
    <w:rsid w:val="003B4E1C"/>
    <w:rsid w:val="003D1150"/>
    <w:rsid w:val="003D1CD7"/>
    <w:rsid w:val="003D7D2B"/>
    <w:rsid w:val="003E7FB9"/>
    <w:rsid w:val="003F473B"/>
    <w:rsid w:val="00402FC4"/>
    <w:rsid w:val="00412CA0"/>
    <w:rsid w:val="00417790"/>
    <w:rsid w:val="00434A55"/>
    <w:rsid w:val="004411F1"/>
    <w:rsid w:val="00460B4A"/>
    <w:rsid w:val="00465942"/>
    <w:rsid w:val="00466D2C"/>
    <w:rsid w:val="00471518"/>
    <w:rsid w:val="00471E75"/>
    <w:rsid w:val="0047442A"/>
    <w:rsid w:val="00481136"/>
    <w:rsid w:val="00481A87"/>
    <w:rsid w:val="00483A82"/>
    <w:rsid w:val="004945E3"/>
    <w:rsid w:val="004A52F4"/>
    <w:rsid w:val="004B15CF"/>
    <w:rsid w:val="004C3704"/>
    <w:rsid w:val="004D2CE0"/>
    <w:rsid w:val="004D39B6"/>
    <w:rsid w:val="004E03B9"/>
    <w:rsid w:val="004E1BD3"/>
    <w:rsid w:val="004E63BC"/>
    <w:rsid w:val="004E71A5"/>
    <w:rsid w:val="004E79BE"/>
    <w:rsid w:val="004F22AC"/>
    <w:rsid w:val="004F7544"/>
    <w:rsid w:val="0050351E"/>
    <w:rsid w:val="00527307"/>
    <w:rsid w:val="00530990"/>
    <w:rsid w:val="005348E1"/>
    <w:rsid w:val="00536D98"/>
    <w:rsid w:val="005433CA"/>
    <w:rsid w:val="00544529"/>
    <w:rsid w:val="00546E25"/>
    <w:rsid w:val="005510AA"/>
    <w:rsid w:val="00576220"/>
    <w:rsid w:val="00582B1A"/>
    <w:rsid w:val="005A4819"/>
    <w:rsid w:val="005A6CF4"/>
    <w:rsid w:val="005B4B3A"/>
    <w:rsid w:val="005C148D"/>
    <w:rsid w:val="005C79B2"/>
    <w:rsid w:val="005D19C0"/>
    <w:rsid w:val="005D32DB"/>
    <w:rsid w:val="005E75AB"/>
    <w:rsid w:val="005F3F52"/>
    <w:rsid w:val="0061205F"/>
    <w:rsid w:val="00615D06"/>
    <w:rsid w:val="006177BB"/>
    <w:rsid w:val="00631886"/>
    <w:rsid w:val="00631BE9"/>
    <w:rsid w:val="00632FA6"/>
    <w:rsid w:val="00634CEE"/>
    <w:rsid w:val="00642168"/>
    <w:rsid w:val="00644228"/>
    <w:rsid w:val="00645877"/>
    <w:rsid w:val="0065096C"/>
    <w:rsid w:val="00661AE5"/>
    <w:rsid w:val="0067492D"/>
    <w:rsid w:val="006750EF"/>
    <w:rsid w:val="00684A01"/>
    <w:rsid w:val="00694DCB"/>
    <w:rsid w:val="00694DDA"/>
    <w:rsid w:val="006A1188"/>
    <w:rsid w:val="006A5F8B"/>
    <w:rsid w:val="006B1709"/>
    <w:rsid w:val="006B3A81"/>
    <w:rsid w:val="006B52CF"/>
    <w:rsid w:val="006B5415"/>
    <w:rsid w:val="006C0095"/>
    <w:rsid w:val="006C4C9A"/>
    <w:rsid w:val="006D31FC"/>
    <w:rsid w:val="006D4855"/>
    <w:rsid w:val="006F0086"/>
    <w:rsid w:val="007025C3"/>
    <w:rsid w:val="0070716B"/>
    <w:rsid w:val="00713280"/>
    <w:rsid w:val="0072152B"/>
    <w:rsid w:val="00733005"/>
    <w:rsid w:val="007471B3"/>
    <w:rsid w:val="00753F6B"/>
    <w:rsid w:val="00767453"/>
    <w:rsid w:val="0077051F"/>
    <w:rsid w:val="00774031"/>
    <w:rsid w:val="00785727"/>
    <w:rsid w:val="00786490"/>
    <w:rsid w:val="00786D78"/>
    <w:rsid w:val="00790882"/>
    <w:rsid w:val="0079312C"/>
    <w:rsid w:val="00795888"/>
    <w:rsid w:val="007A0DA6"/>
    <w:rsid w:val="007A10FE"/>
    <w:rsid w:val="007A4C1E"/>
    <w:rsid w:val="007B76A7"/>
    <w:rsid w:val="007D6968"/>
    <w:rsid w:val="007D797C"/>
    <w:rsid w:val="007D7E5A"/>
    <w:rsid w:val="007E0C5C"/>
    <w:rsid w:val="007E4332"/>
    <w:rsid w:val="007F27E6"/>
    <w:rsid w:val="00801833"/>
    <w:rsid w:val="00805604"/>
    <w:rsid w:val="00806A6E"/>
    <w:rsid w:val="00812864"/>
    <w:rsid w:val="00834F3C"/>
    <w:rsid w:val="00842963"/>
    <w:rsid w:val="008429B1"/>
    <w:rsid w:val="00847CD7"/>
    <w:rsid w:val="008566BF"/>
    <w:rsid w:val="00883BDE"/>
    <w:rsid w:val="0088500E"/>
    <w:rsid w:val="00890EF3"/>
    <w:rsid w:val="00892C33"/>
    <w:rsid w:val="00894B1A"/>
    <w:rsid w:val="008A0514"/>
    <w:rsid w:val="008A1790"/>
    <w:rsid w:val="008A1CC8"/>
    <w:rsid w:val="008A554A"/>
    <w:rsid w:val="008B2EF5"/>
    <w:rsid w:val="008B36EA"/>
    <w:rsid w:val="008B6E49"/>
    <w:rsid w:val="008E1B56"/>
    <w:rsid w:val="008E7431"/>
    <w:rsid w:val="00904ECC"/>
    <w:rsid w:val="00905363"/>
    <w:rsid w:val="00905B5B"/>
    <w:rsid w:val="009062F7"/>
    <w:rsid w:val="00913539"/>
    <w:rsid w:val="0091451B"/>
    <w:rsid w:val="00917AE3"/>
    <w:rsid w:val="00920001"/>
    <w:rsid w:val="009213CE"/>
    <w:rsid w:val="0092571B"/>
    <w:rsid w:val="00925844"/>
    <w:rsid w:val="00927498"/>
    <w:rsid w:val="009302D9"/>
    <w:rsid w:val="0093248F"/>
    <w:rsid w:val="0093607A"/>
    <w:rsid w:val="00936BDF"/>
    <w:rsid w:val="009375A3"/>
    <w:rsid w:val="0093765B"/>
    <w:rsid w:val="00946FD7"/>
    <w:rsid w:val="0094745A"/>
    <w:rsid w:val="0095009A"/>
    <w:rsid w:val="00954563"/>
    <w:rsid w:val="0097601F"/>
    <w:rsid w:val="009904B3"/>
    <w:rsid w:val="00993E1C"/>
    <w:rsid w:val="00996CEA"/>
    <w:rsid w:val="009B568A"/>
    <w:rsid w:val="009B6DAB"/>
    <w:rsid w:val="009C1708"/>
    <w:rsid w:val="009C1C6E"/>
    <w:rsid w:val="009C2F2E"/>
    <w:rsid w:val="009C411D"/>
    <w:rsid w:val="009C7CAF"/>
    <w:rsid w:val="009D0782"/>
    <w:rsid w:val="009D2566"/>
    <w:rsid w:val="009D3193"/>
    <w:rsid w:val="009D3E6C"/>
    <w:rsid w:val="009D4003"/>
    <w:rsid w:val="009F14EF"/>
    <w:rsid w:val="009F5CBD"/>
    <w:rsid w:val="00A03DD6"/>
    <w:rsid w:val="00A04F33"/>
    <w:rsid w:val="00A06269"/>
    <w:rsid w:val="00A06420"/>
    <w:rsid w:val="00A24D85"/>
    <w:rsid w:val="00A31753"/>
    <w:rsid w:val="00A321D2"/>
    <w:rsid w:val="00A43C89"/>
    <w:rsid w:val="00A474D6"/>
    <w:rsid w:val="00A47E2A"/>
    <w:rsid w:val="00A54986"/>
    <w:rsid w:val="00A82043"/>
    <w:rsid w:val="00A905C3"/>
    <w:rsid w:val="00A941BE"/>
    <w:rsid w:val="00AA690E"/>
    <w:rsid w:val="00AB0790"/>
    <w:rsid w:val="00AC0CEA"/>
    <w:rsid w:val="00AC4C4F"/>
    <w:rsid w:val="00AD0FAF"/>
    <w:rsid w:val="00AD2031"/>
    <w:rsid w:val="00AD4653"/>
    <w:rsid w:val="00AE0A98"/>
    <w:rsid w:val="00B01A54"/>
    <w:rsid w:val="00B0296E"/>
    <w:rsid w:val="00B11FEC"/>
    <w:rsid w:val="00B13AEF"/>
    <w:rsid w:val="00B208A7"/>
    <w:rsid w:val="00B21AE9"/>
    <w:rsid w:val="00B22D2A"/>
    <w:rsid w:val="00B27561"/>
    <w:rsid w:val="00B3756C"/>
    <w:rsid w:val="00B43631"/>
    <w:rsid w:val="00B4727D"/>
    <w:rsid w:val="00B83616"/>
    <w:rsid w:val="00B9261E"/>
    <w:rsid w:val="00B93409"/>
    <w:rsid w:val="00B93CE2"/>
    <w:rsid w:val="00B960F4"/>
    <w:rsid w:val="00B979EE"/>
    <w:rsid w:val="00BA6997"/>
    <w:rsid w:val="00BB062B"/>
    <w:rsid w:val="00BB36F4"/>
    <w:rsid w:val="00BB4763"/>
    <w:rsid w:val="00BC05DF"/>
    <w:rsid w:val="00BE132B"/>
    <w:rsid w:val="00BE64D4"/>
    <w:rsid w:val="00BF5A9B"/>
    <w:rsid w:val="00C03D9E"/>
    <w:rsid w:val="00C05FFB"/>
    <w:rsid w:val="00C113A3"/>
    <w:rsid w:val="00C11D0A"/>
    <w:rsid w:val="00C11E43"/>
    <w:rsid w:val="00C215DC"/>
    <w:rsid w:val="00C24669"/>
    <w:rsid w:val="00C34667"/>
    <w:rsid w:val="00C36214"/>
    <w:rsid w:val="00C4016B"/>
    <w:rsid w:val="00C47441"/>
    <w:rsid w:val="00C50F3E"/>
    <w:rsid w:val="00C55F17"/>
    <w:rsid w:val="00C56D18"/>
    <w:rsid w:val="00C67678"/>
    <w:rsid w:val="00C67F8A"/>
    <w:rsid w:val="00C70394"/>
    <w:rsid w:val="00C84F6C"/>
    <w:rsid w:val="00C90922"/>
    <w:rsid w:val="00CA37F8"/>
    <w:rsid w:val="00CA76C5"/>
    <w:rsid w:val="00CB36F1"/>
    <w:rsid w:val="00CC7264"/>
    <w:rsid w:val="00CD08DC"/>
    <w:rsid w:val="00CD5575"/>
    <w:rsid w:val="00CD6B34"/>
    <w:rsid w:val="00CE46D2"/>
    <w:rsid w:val="00CF706A"/>
    <w:rsid w:val="00D04B3C"/>
    <w:rsid w:val="00D060C4"/>
    <w:rsid w:val="00D11C13"/>
    <w:rsid w:val="00D1249C"/>
    <w:rsid w:val="00D12C96"/>
    <w:rsid w:val="00D15F0A"/>
    <w:rsid w:val="00D17CB2"/>
    <w:rsid w:val="00D218ED"/>
    <w:rsid w:val="00D26B67"/>
    <w:rsid w:val="00D302DA"/>
    <w:rsid w:val="00D3571C"/>
    <w:rsid w:val="00D446F4"/>
    <w:rsid w:val="00D44BA8"/>
    <w:rsid w:val="00D4542A"/>
    <w:rsid w:val="00D55673"/>
    <w:rsid w:val="00D55FF3"/>
    <w:rsid w:val="00D668A4"/>
    <w:rsid w:val="00D73511"/>
    <w:rsid w:val="00D75230"/>
    <w:rsid w:val="00D877DF"/>
    <w:rsid w:val="00DA3D90"/>
    <w:rsid w:val="00DC0C5E"/>
    <w:rsid w:val="00DE0487"/>
    <w:rsid w:val="00DE0C21"/>
    <w:rsid w:val="00DE3EC6"/>
    <w:rsid w:val="00DF4733"/>
    <w:rsid w:val="00DF5FB3"/>
    <w:rsid w:val="00E052F8"/>
    <w:rsid w:val="00E141F8"/>
    <w:rsid w:val="00E15C6D"/>
    <w:rsid w:val="00E24565"/>
    <w:rsid w:val="00E26806"/>
    <w:rsid w:val="00E357D2"/>
    <w:rsid w:val="00E3735F"/>
    <w:rsid w:val="00E4116B"/>
    <w:rsid w:val="00E42C1B"/>
    <w:rsid w:val="00E90AE8"/>
    <w:rsid w:val="00E91DB4"/>
    <w:rsid w:val="00E961DF"/>
    <w:rsid w:val="00EA0D76"/>
    <w:rsid w:val="00EB0631"/>
    <w:rsid w:val="00EB40EF"/>
    <w:rsid w:val="00EB5554"/>
    <w:rsid w:val="00EC59D6"/>
    <w:rsid w:val="00EC5E61"/>
    <w:rsid w:val="00EC6E1B"/>
    <w:rsid w:val="00EE190E"/>
    <w:rsid w:val="00EE5212"/>
    <w:rsid w:val="00EF2A13"/>
    <w:rsid w:val="00EF3426"/>
    <w:rsid w:val="00EF5FAC"/>
    <w:rsid w:val="00EF601B"/>
    <w:rsid w:val="00F01B9E"/>
    <w:rsid w:val="00F154E8"/>
    <w:rsid w:val="00F20F45"/>
    <w:rsid w:val="00F22423"/>
    <w:rsid w:val="00F26A26"/>
    <w:rsid w:val="00F3017C"/>
    <w:rsid w:val="00F478E1"/>
    <w:rsid w:val="00F67E19"/>
    <w:rsid w:val="00F76CB4"/>
    <w:rsid w:val="00F80E2B"/>
    <w:rsid w:val="00F81055"/>
    <w:rsid w:val="00F9127F"/>
    <w:rsid w:val="00F95376"/>
    <w:rsid w:val="00F979A6"/>
    <w:rsid w:val="00FA32A1"/>
    <w:rsid w:val="00FA3314"/>
    <w:rsid w:val="00FB682D"/>
    <w:rsid w:val="00FD76BD"/>
    <w:rsid w:val="00FE0CBF"/>
    <w:rsid w:val="00FE3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137"/>
    <o:shapelayout v:ext="edit">
      <o:idmap v:ext="edit" data="1"/>
    </o:shapelayout>
  </w:shapeDefaults>
  <w:decimalSymbol w:val="."/>
  <w:listSeparator w:val=","/>
  <w14:docId w14:val="38714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00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4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C2F2E"/>
    <w:pPr>
      <w:tabs>
        <w:tab w:val="center" w:pos="4320"/>
        <w:tab w:val="right" w:pos="8640"/>
      </w:tabs>
    </w:pPr>
  </w:style>
  <w:style w:type="paragraph" w:styleId="Footer">
    <w:name w:val="footer"/>
    <w:basedOn w:val="Normal"/>
    <w:rsid w:val="009C2F2E"/>
    <w:pPr>
      <w:tabs>
        <w:tab w:val="center" w:pos="4320"/>
        <w:tab w:val="right" w:pos="8640"/>
      </w:tabs>
    </w:pPr>
  </w:style>
  <w:style w:type="paragraph" w:styleId="BalloonText">
    <w:name w:val="Balloon Text"/>
    <w:basedOn w:val="Normal"/>
    <w:semiHidden/>
    <w:rsid w:val="009C2F2E"/>
    <w:rPr>
      <w:rFonts w:ascii="Tahoma" w:hAnsi="Tahoma" w:cs="Tahoma"/>
      <w:sz w:val="16"/>
      <w:szCs w:val="16"/>
    </w:rPr>
  </w:style>
  <w:style w:type="paragraph" w:styleId="NormalWeb">
    <w:name w:val="Normal (Web)"/>
    <w:basedOn w:val="Normal"/>
    <w:rsid w:val="00D302DA"/>
    <w:pPr>
      <w:spacing w:before="100" w:beforeAutospacing="1" w:after="100" w:afterAutospacing="1"/>
    </w:pPr>
    <w:rPr>
      <w:color w:val="330033"/>
    </w:rPr>
  </w:style>
  <w:style w:type="paragraph" w:styleId="FootnoteText">
    <w:name w:val="footnote text"/>
    <w:basedOn w:val="Normal"/>
    <w:semiHidden/>
    <w:rsid w:val="00D302DA"/>
    <w:rPr>
      <w:rFonts w:ascii="Courier" w:hAnsi="Courier"/>
    </w:rPr>
  </w:style>
  <w:style w:type="paragraph" w:styleId="BodyTextIndent">
    <w:name w:val="Body Text Indent"/>
    <w:basedOn w:val="Normal"/>
    <w:rsid w:val="00D302DA"/>
    <w:pPr>
      <w:tabs>
        <w:tab w:val="left" w:pos="720"/>
      </w:tabs>
      <w:ind w:left="1440" w:hanging="1440"/>
    </w:pPr>
    <w:rPr>
      <w:rFonts w:ascii="Arial" w:hAnsi="Arial"/>
    </w:rPr>
  </w:style>
  <w:style w:type="paragraph" w:styleId="BodyTextIndent2">
    <w:name w:val="Body Text Indent 2"/>
    <w:basedOn w:val="Normal"/>
    <w:rsid w:val="00D302DA"/>
    <w:pPr>
      <w:ind w:left="1440"/>
    </w:pPr>
    <w:rPr>
      <w:rFonts w:ascii="Arial" w:hAnsi="Arial"/>
    </w:rPr>
  </w:style>
  <w:style w:type="paragraph" w:styleId="BodyTextIndent3">
    <w:name w:val="Body Text Indent 3"/>
    <w:basedOn w:val="Normal"/>
    <w:rsid w:val="00D302DA"/>
    <w:pPr>
      <w:ind w:left="1440" w:hanging="720"/>
    </w:pPr>
    <w:rPr>
      <w:rFonts w:ascii="Arial" w:hAnsi="Arial"/>
    </w:rPr>
  </w:style>
  <w:style w:type="character" w:styleId="Hyperlink">
    <w:name w:val="Hyperlink"/>
    <w:basedOn w:val="DefaultParagraphFont"/>
    <w:rsid w:val="00D302DA"/>
    <w:rPr>
      <w:color w:val="0000FF"/>
      <w:u w:val="single"/>
    </w:rPr>
  </w:style>
  <w:style w:type="paragraph" w:styleId="BodyText">
    <w:name w:val="Body Text"/>
    <w:basedOn w:val="Normal"/>
    <w:rsid w:val="00D302DA"/>
    <w:pPr>
      <w:tabs>
        <w:tab w:val="left" w:pos="644"/>
      </w:tabs>
      <w:ind w:right="720"/>
    </w:pPr>
    <w:rPr>
      <w:rFonts w:ascii="Arial" w:hAnsi="Arial"/>
      <w:sz w:val="20"/>
    </w:rPr>
  </w:style>
  <w:style w:type="paragraph" w:styleId="Title">
    <w:name w:val="Title"/>
    <w:basedOn w:val="Normal"/>
    <w:qFormat/>
    <w:rsid w:val="00D302DA"/>
    <w:pPr>
      <w:jc w:val="center"/>
    </w:pPr>
    <w:rPr>
      <w:sz w:val="32"/>
    </w:rPr>
  </w:style>
  <w:style w:type="character" w:styleId="FollowedHyperlink">
    <w:name w:val="FollowedHyperlink"/>
    <w:basedOn w:val="DefaultParagraphFont"/>
    <w:rsid w:val="00481A87"/>
    <w:rPr>
      <w:color w:val="800080"/>
      <w:u w:val="single"/>
    </w:rPr>
  </w:style>
  <w:style w:type="paragraph" w:styleId="ListParagraph">
    <w:name w:val="List Paragraph"/>
    <w:basedOn w:val="Normal"/>
    <w:uiPriority w:val="34"/>
    <w:qFormat/>
    <w:rsid w:val="00993E1C"/>
    <w:pPr>
      <w:ind w:left="720"/>
      <w:contextualSpacing/>
    </w:pPr>
  </w:style>
  <w:style w:type="character" w:styleId="CommentReference">
    <w:name w:val="annotation reference"/>
    <w:basedOn w:val="DefaultParagraphFont"/>
    <w:rsid w:val="007A10FE"/>
    <w:rPr>
      <w:sz w:val="16"/>
      <w:szCs w:val="16"/>
    </w:rPr>
  </w:style>
  <w:style w:type="paragraph" w:styleId="CommentText">
    <w:name w:val="annotation text"/>
    <w:basedOn w:val="Normal"/>
    <w:link w:val="CommentTextChar"/>
    <w:rsid w:val="007A10FE"/>
    <w:rPr>
      <w:sz w:val="20"/>
      <w:szCs w:val="20"/>
    </w:rPr>
  </w:style>
  <w:style w:type="character" w:customStyle="1" w:styleId="CommentTextChar">
    <w:name w:val="Comment Text Char"/>
    <w:basedOn w:val="DefaultParagraphFont"/>
    <w:link w:val="CommentText"/>
    <w:rsid w:val="007A10FE"/>
  </w:style>
  <w:style w:type="paragraph" w:styleId="CommentSubject">
    <w:name w:val="annotation subject"/>
    <w:basedOn w:val="CommentText"/>
    <w:next w:val="CommentText"/>
    <w:link w:val="CommentSubjectChar"/>
    <w:rsid w:val="007A10FE"/>
    <w:rPr>
      <w:b/>
      <w:bCs/>
    </w:rPr>
  </w:style>
  <w:style w:type="character" w:customStyle="1" w:styleId="CommentSubjectChar">
    <w:name w:val="Comment Subject Char"/>
    <w:basedOn w:val="CommentTextChar"/>
    <w:link w:val="CommentSubject"/>
    <w:rsid w:val="007A10FE"/>
    <w:rPr>
      <w:b/>
      <w:bCs/>
    </w:rPr>
  </w:style>
  <w:style w:type="paragraph" w:customStyle="1" w:styleId="Default">
    <w:name w:val="Default"/>
    <w:rsid w:val="00536D98"/>
    <w:pPr>
      <w:autoSpaceDE w:val="0"/>
      <w:autoSpaceDN w:val="0"/>
      <w:adjustRightInd w:val="0"/>
    </w:pPr>
    <w:rPr>
      <w:color w:val="000000"/>
      <w:sz w:val="24"/>
      <w:szCs w:val="24"/>
    </w:rPr>
  </w:style>
  <w:style w:type="paragraph" w:styleId="NoSpacing">
    <w:name w:val="No Spacing"/>
    <w:uiPriority w:val="1"/>
    <w:qFormat/>
    <w:rsid w:val="00D446F4"/>
    <w:rPr>
      <w:sz w:val="24"/>
      <w:szCs w:val="24"/>
    </w:rPr>
  </w:style>
  <w:style w:type="paragraph" w:styleId="Revision">
    <w:name w:val="Revision"/>
    <w:hidden/>
    <w:uiPriority w:val="99"/>
    <w:semiHidden/>
    <w:rsid w:val="00FA3314"/>
    <w:rPr>
      <w:sz w:val="24"/>
      <w:szCs w:val="24"/>
    </w:rPr>
  </w:style>
  <w:style w:type="character" w:styleId="UnresolvedMention">
    <w:name w:val="Unresolved Mention"/>
    <w:basedOn w:val="DefaultParagraphFont"/>
    <w:uiPriority w:val="99"/>
    <w:semiHidden/>
    <w:unhideWhenUsed/>
    <w:rsid w:val="00B93C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58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licies.tamus.edu/21-01-03.pdf" TargetMode="External"/><Relationship Id="rId13" Type="http://schemas.openxmlformats.org/officeDocument/2006/relationships/hyperlink" Target="https://gov.texas.gov/uploads/files/general/State_Funded_Travel_To_DC_Form_2015.pdf" TargetMode="External"/><Relationship Id="rId18" Type="http://schemas.openxmlformats.org/officeDocument/2006/relationships/hyperlink" Target="https://fmx.cpa.texas.gov/fmx/travel/textravel/rates/current.ph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mapquest.com/" TargetMode="External"/><Relationship Id="rId7" Type="http://schemas.openxmlformats.org/officeDocument/2006/relationships/image" Target="media/image1.png"/><Relationship Id="rId12" Type="http://schemas.openxmlformats.org/officeDocument/2006/relationships/hyperlink" Target="http://tfsfinance.tamu.edu/modules/finance/admin/procedures/Travel%20Authorization.docx" TargetMode="External"/><Relationship Id="rId17" Type="http://schemas.openxmlformats.org/officeDocument/2006/relationships/hyperlink" Target="http://tfsfinance.tamu.edu/modules/finance/admin/admin_procedures/3006%20Travel%20Cards.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comptroller.texas.gov/purchasing/programs/travel-management/airline.php" TargetMode="External"/><Relationship Id="rId20" Type="http://schemas.openxmlformats.org/officeDocument/2006/relationships/hyperlink" Target="http://tfsfinance.tamu.edu/modules/finance/admin/admin_procedures/3006%20Travel%20Cards.docx"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fsfinance.tamu.edu/modules/finance/admin/procedures/Travel%20Authorization.docx" TargetMode="External"/><Relationship Id="rId24" Type="http://schemas.openxmlformats.org/officeDocument/2006/relationships/hyperlink" Target="mailto:tzamzow@tfs.tamu.edu" TargetMode="External"/><Relationship Id="rId5" Type="http://schemas.openxmlformats.org/officeDocument/2006/relationships/footnotes" Target="footnotes.xml"/><Relationship Id="rId15" Type="http://schemas.openxmlformats.org/officeDocument/2006/relationships/hyperlink" Target="http://tfsfinance.tamu.edu/modules/finance/admin/procedures/Travel%20Voucher.xlsx" TargetMode="External"/><Relationship Id="rId23" Type="http://schemas.openxmlformats.org/officeDocument/2006/relationships/hyperlink" Target="http://tfsfinance.tamu.edu/modules/finance/admin/procedures/Texas%20Sales%20and%20Use%20Tax%20Cert%20TFS.pdf" TargetMode="External"/><Relationship Id="rId28" Type="http://schemas.openxmlformats.org/officeDocument/2006/relationships/customXml" Target="../customXml/item1.xml"/><Relationship Id="rId10" Type="http://schemas.openxmlformats.org/officeDocument/2006/relationships/hyperlink" Target="https://fmx.cpa.texas.gov/fmx/travel/textravel/" TargetMode="External"/><Relationship Id="rId19" Type="http://schemas.openxmlformats.org/officeDocument/2006/relationships/hyperlink" Target="http://www.gsa.gov/portal/category/21287" TargetMode="External"/><Relationship Id="rId31"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s://comptroller.texas.gov/purchasing/programs/travel-management/" TargetMode="External"/><Relationship Id="rId14" Type="http://schemas.openxmlformats.org/officeDocument/2006/relationships/hyperlink" Target="http://assets.system.tamus.edu/files/safety/pdf/travelrisk.pdf" TargetMode="External"/><Relationship Id="rId22" Type="http://schemas.openxmlformats.org/officeDocument/2006/relationships/hyperlink" Target="http://tfsfinance.tamu.edu/modules/finance/admin/procedures/Texas%20Hotel%20Occupancy%20Tax%20Exemption%20Certificate.pdf" TargetMode="Externa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01FA20E681DB44886318091F9D53D6" ma:contentTypeVersion="20" ma:contentTypeDescription="Create a new document." ma:contentTypeScope="" ma:versionID="a0c6498045cd41e3e1dd5c2d62d2466d">
  <xsd:schema xmlns:xsd="http://www.w3.org/2001/XMLSchema" xmlns:xs="http://www.w3.org/2001/XMLSchema" xmlns:p="http://schemas.microsoft.com/office/2006/metadata/properties" xmlns:ns1="http://schemas.microsoft.com/sharepoint/v3" xmlns:ns2="6819ce1a-c6ed-457e-aaaa-d09a469b0545" xmlns:ns3="096f3cc7-3874-4d01-bd76-f2f69c5613b9" targetNamespace="http://schemas.microsoft.com/office/2006/metadata/properties" ma:root="true" ma:fieldsID="8b6790d7d2c53daa4cb2f15b24788194" ns1:_="" ns2:_="" ns3:_="">
    <xsd:import namespace="http://schemas.microsoft.com/sharepoint/v3"/>
    <xsd:import namespace="6819ce1a-c6ed-457e-aaaa-d09a469b0545"/>
    <xsd:import namespace="096f3cc7-3874-4d01-bd76-f2f69c5613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element ref="ns3:MediaServiceSearchPropertie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19ce1a-c6ed-457e-aaaa-d09a469b05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88b63edd-32fd-4cd9-880b-48c3b8cbb6fc}" ma:internalName="TaxCatchAll" ma:showField="CatchAllData" ma:web="6819ce1a-c6ed-457e-aaaa-d09a469b0545">
      <xsd:complexType>
        <xsd:complexContent>
          <xsd:extension base="dms:MultiChoiceLookup">
            <xsd:sequence>
              <xsd:element name="Value" type="dms:Lookup" maxOccurs="unbounded" minOccurs="0" nillable="true"/>
            </xsd:sequence>
          </xsd:extension>
        </xsd:complexContent>
      </xsd:complex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6f3cc7-3874-4d01-bd76-f2f69c5613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331c53f-a3c3-46a3-89e8-485d927a12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819ce1a-c6ed-457e-aaaa-d09a469b0545">UEKHZ4HHEJXQ-292801454-182578</_dlc_DocId>
    <lcf76f155ced4ddcb4097134ff3c332f xmlns="096f3cc7-3874-4d01-bd76-f2f69c5613b9">
      <Terms xmlns="http://schemas.microsoft.com/office/infopath/2007/PartnerControls"/>
    </lcf76f155ced4ddcb4097134ff3c332f>
    <TaxCatchAll xmlns="6819ce1a-c6ed-457e-aaaa-d09a469b0545" xsi:nil="true"/>
    <_ip_UnifiedCompliancePolicyUIAction xmlns="http://schemas.microsoft.com/sharepoint/v3" xsi:nil="true"/>
    <_dlc_DocIdUrl xmlns="6819ce1a-c6ed-457e-aaaa-d09a469b0545">
      <Url>https://texasforestservice.sharepoint.com/sites/Share-AssociateDirectorsOffice-FIAD/_layouts/15/DocIdRedir.aspx?ID=UEKHZ4HHEJXQ-292801454-182578</Url>
      <Description>UEKHZ4HHEJXQ-292801454-182578</Description>
    </_dlc_DocIdUrl>
    <_ip_UnifiedCompliancePolicyProperties xmlns="http://schemas.microsoft.com/sharepoint/v3" xsi:nil="true"/>
  </documentManagement>
</p:properties>
</file>

<file path=customXml/itemProps1.xml><?xml version="1.0" encoding="utf-8"?>
<ds:datastoreItem xmlns:ds="http://schemas.openxmlformats.org/officeDocument/2006/customXml" ds:itemID="{E6F4173E-431E-4A98-8E5B-10DCE138EA16}"/>
</file>

<file path=customXml/itemProps2.xml><?xml version="1.0" encoding="utf-8"?>
<ds:datastoreItem xmlns:ds="http://schemas.openxmlformats.org/officeDocument/2006/customXml" ds:itemID="{F8A26C5C-1E89-402E-801C-55E67470E57C}"/>
</file>

<file path=customXml/itemProps3.xml><?xml version="1.0" encoding="utf-8"?>
<ds:datastoreItem xmlns:ds="http://schemas.openxmlformats.org/officeDocument/2006/customXml" ds:itemID="{A74F397B-C135-435B-AEC2-B3B90C507A25}"/>
</file>

<file path=customXml/itemProps4.xml><?xml version="1.0" encoding="utf-8"?>
<ds:datastoreItem xmlns:ds="http://schemas.openxmlformats.org/officeDocument/2006/customXml" ds:itemID="{575E3654-900B-45D4-B897-DA738AE64617}"/>
</file>

<file path=docProps/app.xml><?xml version="1.0" encoding="utf-8"?>
<Properties xmlns="http://schemas.openxmlformats.org/officeDocument/2006/extended-properties" xmlns:vt="http://schemas.openxmlformats.org/officeDocument/2006/docPropsVTypes">
  <Template>Normal.dotm</Template>
  <TotalTime>0</TotalTime>
  <Pages>10</Pages>
  <Words>3307</Words>
  <Characters>18854</Characters>
  <Application>Microsoft Office Word</Application>
  <DocSecurity>8</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22117</CharactersWithSpaces>
  <SharedDoc>false</SharedDoc>
  <HLinks>
    <vt:vector size="72" baseType="variant">
      <vt:variant>
        <vt:i4>3014731</vt:i4>
      </vt:variant>
      <vt:variant>
        <vt:i4>33</vt:i4>
      </vt:variant>
      <vt:variant>
        <vt:i4>0</vt:i4>
      </vt:variant>
      <vt:variant>
        <vt:i4>5</vt:i4>
      </vt:variant>
      <vt:variant>
        <vt:lpwstr>mailto:TZamzow@tfs.tamu.edu</vt:lpwstr>
      </vt:variant>
      <vt:variant>
        <vt:lpwstr/>
      </vt:variant>
      <vt:variant>
        <vt:i4>983104</vt:i4>
      </vt:variant>
      <vt:variant>
        <vt:i4>30</vt:i4>
      </vt:variant>
      <vt:variant>
        <vt:i4>0</vt:i4>
      </vt:variant>
      <vt:variant>
        <vt:i4>5</vt:i4>
      </vt:variant>
      <vt:variant>
        <vt:lpwstr>http://tfsfinance.tamu.edu/modules/finance/admin/procedures/Vendor Exception Form 7-19-02.xls</vt:lpwstr>
      </vt:variant>
      <vt:variant>
        <vt:lpwstr/>
      </vt:variant>
      <vt:variant>
        <vt:i4>6225933</vt:i4>
      </vt:variant>
      <vt:variant>
        <vt:i4>27</vt:i4>
      </vt:variant>
      <vt:variant>
        <vt:i4>0</vt:i4>
      </vt:variant>
      <vt:variant>
        <vt:i4>5</vt:i4>
      </vt:variant>
      <vt:variant>
        <vt:lpwstr>http://tfsfinance.tamu.edu/modules/finance/admin/procedures/Travel Voucher Form-rev 2006.xls</vt:lpwstr>
      </vt:variant>
      <vt:variant>
        <vt:lpwstr/>
      </vt:variant>
      <vt:variant>
        <vt:i4>2490382</vt:i4>
      </vt:variant>
      <vt:variant>
        <vt:i4>24</vt:i4>
      </vt:variant>
      <vt:variant>
        <vt:i4>0</vt:i4>
      </vt:variant>
      <vt:variant>
        <vt:i4>5</vt:i4>
      </vt:variant>
      <vt:variant>
        <vt:lpwstr>http://travel.state.gov/travel/cis_pa_tw/tw/tw_1764.html</vt:lpwstr>
      </vt:variant>
      <vt:variant>
        <vt:lpwstr/>
      </vt:variant>
      <vt:variant>
        <vt:i4>1376274</vt:i4>
      </vt:variant>
      <vt:variant>
        <vt:i4>21</vt:i4>
      </vt:variant>
      <vt:variant>
        <vt:i4>0</vt:i4>
      </vt:variant>
      <vt:variant>
        <vt:i4>5</vt:i4>
      </vt:variant>
      <vt:variant>
        <vt:lpwstr>http://www.tamus.edu/offices/research-federal/index.html</vt:lpwstr>
      </vt:variant>
      <vt:variant>
        <vt:lpwstr/>
      </vt:variant>
      <vt:variant>
        <vt:i4>8060982</vt:i4>
      </vt:variant>
      <vt:variant>
        <vt:i4>18</vt:i4>
      </vt:variant>
      <vt:variant>
        <vt:i4>0</vt:i4>
      </vt:variant>
      <vt:variant>
        <vt:i4>5</vt:i4>
      </vt:variant>
      <vt:variant>
        <vt:lpwstr>http://www.osfr.state.tx.us/travelform.asp</vt:lpwstr>
      </vt:variant>
      <vt:variant>
        <vt:lpwstr/>
      </vt:variant>
      <vt:variant>
        <vt:i4>3473447</vt:i4>
      </vt:variant>
      <vt:variant>
        <vt:i4>15</vt:i4>
      </vt:variant>
      <vt:variant>
        <vt:i4>0</vt:i4>
      </vt:variant>
      <vt:variant>
        <vt:i4>5</vt:i4>
      </vt:variant>
      <vt:variant>
        <vt:lpwstr>https://fmx.cpa.state.tx.us/fm/pubs/travallow/index.php</vt:lpwstr>
      </vt:variant>
      <vt:variant>
        <vt:lpwstr/>
      </vt:variant>
      <vt:variant>
        <vt:i4>1310814</vt:i4>
      </vt:variant>
      <vt:variant>
        <vt:i4>12</vt:i4>
      </vt:variant>
      <vt:variant>
        <vt:i4>0</vt:i4>
      </vt:variant>
      <vt:variant>
        <vt:i4>5</vt:i4>
      </vt:variant>
      <vt:variant>
        <vt:lpwstr>http://www.window.state.tx.us/procurement/prog/stmp/</vt:lpwstr>
      </vt:variant>
      <vt:variant>
        <vt:lpwstr/>
      </vt:variant>
      <vt:variant>
        <vt:i4>4849747</vt:i4>
      </vt:variant>
      <vt:variant>
        <vt:i4>9</vt:i4>
      </vt:variant>
      <vt:variant>
        <vt:i4>0</vt:i4>
      </vt:variant>
      <vt:variant>
        <vt:i4>5</vt:i4>
      </vt:variant>
      <vt:variant>
        <vt:lpwstr>http://sago.tamu.edu/policy/25-02-01.pdf</vt:lpwstr>
      </vt:variant>
      <vt:variant>
        <vt:lpwstr/>
      </vt:variant>
      <vt:variant>
        <vt:i4>4980816</vt:i4>
      </vt:variant>
      <vt:variant>
        <vt:i4>6</vt:i4>
      </vt:variant>
      <vt:variant>
        <vt:i4>0</vt:i4>
      </vt:variant>
      <vt:variant>
        <vt:i4>5</vt:i4>
      </vt:variant>
      <vt:variant>
        <vt:lpwstr>http://sago.tamu.edu/policy/21-01-03.pdf</vt:lpwstr>
      </vt:variant>
      <vt:variant>
        <vt:lpwstr/>
      </vt:variant>
      <vt:variant>
        <vt:i4>1900615</vt:i4>
      </vt:variant>
      <vt:variant>
        <vt:i4>3</vt:i4>
      </vt:variant>
      <vt:variant>
        <vt:i4>0</vt:i4>
      </vt:variant>
      <vt:variant>
        <vt:i4>5</vt:i4>
      </vt:variant>
      <vt:variant>
        <vt:lpwstr>http://tamus.edu/offices/policy/policies/html/25-02.html</vt:lpwstr>
      </vt:variant>
      <vt:variant>
        <vt:lpwstr/>
      </vt:variant>
      <vt:variant>
        <vt:i4>131198</vt:i4>
      </vt:variant>
      <vt:variant>
        <vt:i4>2174</vt:i4>
      </vt:variant>
      <vt:variant>
        <vt:i4>1025</vt:i4>
      </vt:variant>
      <vt:variant>
        <vt:i4>1</vt:i4>
      </vt:variant>
      <vt:variant>
        <vt:lpwstr>http://texasforestservice.tamu.edu/uploadedImages/DO/Communications/color_TFS-logo.jpg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2024-02-16T19:25:00Z</dcterms:created>
  <dcterms:modified xsi:type="dcterms:W3CDTF">2024-02-16T19:26:00Z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0x0101000301FA20E681DB44886318091F9D53D6</vt:lpwstr>
  </property>
  <property fmtid="{D5CDD505-2E9C-101B-9397-08002B2CF9AE}" pid="4" name="_dlc_DocIdItemGuid">
    <vt:lpwstr>0ed5c685-705d-4bfb-8f6a-8c9389d42526</vt:lpwstr>
  </property>
</Properties>
</file>