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0620" w14:textId="77777777" w:rsidR="006668C9" w:rsidRDefault="005A7270" w:rsidP="006668C9">
      <w:pPr>
        <w:jc w:val="center"/>
      </w:pPr>
      <w:r>
        <w:rPr>
          <w:noProof/>
        </w:rPr>
        <w:drawing>
          <wp:inline distT="0" distB="0" distL="0" distR="0" wp14:anchorId="3066067F" wp14:editId="30660680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0621" w14:textId="77777777" w:rsidR="006668C9" w:rsidRDefault="006668C9" w:rsidP="006668C9">
      <w:pPr>
        <w:jc w:val="center"/>
      </w:pPr>
    </w:p>
    <w:p w14:paraId="30660622" w14:textId="77777777" w:rsidR="006668C9" w:rsidRPr="00364A06" w:rsidRDefault="006668C9" w:rsidP="006668C9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30660623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30660626" w14:textId="77777777" w:rsidTr="00A43C89">
        <w:tc>
          <w:tcPr>
            <w:tcW w:w="5803" w:type="dxa"/>
          </w:tcPr>
          <w:p w14:paraId="30660624" w14:textId="77777777" w:rsidR="00364A06" w:rsidRPr="00364A06" w:rsidRDefault="00BC6105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10.32  Employment Termination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30660625" w14:textId="36BCB889" w:rsidR="00364A06" w:rsidRPr="00364A06" w:rsidRDefault="00C464AA" w:rsidP="008933E6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C03747">
              <w:rPr>
                <w:b/>
              </w:rPr>
              <w:t>July 5, 2022</w:t>
            </w:r>
          </w:p>
        </w:tc>
      </w:tr>
    </w:tbl>
    <w:p w14:paraId="30660627" w14:textId="77777777" w:rsidR="00364A06" w:rsidRDefault="00364A06" w:rsidP="00364A06">
      <w:pPr>
        <w:jc w:val="center"/>
      </w:pPr>
    </w:p>
    <w:p w14:paraId="30660628" w14:textId="77777777" w:rsidR="00BC6105" w:rsidRPr="00BC6105" w:rsidRDefault="00BC6105" w:rsidP="00BC6105">
      <w:pPr>
        <w:pStyle w:val="ListParagraph"/>
        <w:numPr>
          <w:ilvl w:val="0"/>
          <w:numId w:val="1"/>
        </w:numPr>
        <w:rPr>
          <w:u w:val="single"/>
        </w:rPr>
      </w:pPr>
      <w:r w:rsidRPr="00BC6105">
        <w:rPr>
          <w:u w:val="single"/>
        </w:rPr>
        <w:t>PURPOSE</w:t>
      </w:r>
    </w:p>
    <w:p w14:paraId="30660629" w14:textId="77777777" w:rsidR="00BC6105" w:rsidRDefault="00BC6105" w:rsidP="00BC6105"/>
    <w:p w14:paraId="3066062A" w14:textId="77777777" w:rsidR="00BC6105" w:rsidRDefault="00BC6105" w:rsidP="00482900">
      <w:pPr>
        <w:ind w:left="360"/>
      </w:pPr>
      <w:r>
        <w:t xml:space="preserve">This procedure establishes the guidelines for ensuring that terminating employees are properly and timely out-processed.  </w:t>
      </w:r>
    </w:p>
    <w:p w14:paraId="3066062B" w14:textId="77777777" w:rsidR="00BC6105" w:rsidRDefault="00BC6105" w:rsidP="00BC6105"/>
    <w:p w14:paraId="3066062C" w14:textId="77777777" w:rsidR="00BC6105" w:rsidRPr="006E5703" w:rsidRDefault="006E5703" w:rsidP="006E5703">
      <w:pPr>
        <w:pStyle w:val="ListParagraph"/>
        <w:numPr>
          <w:ilvl w:val="0"/>
          <w:numId w:val="1"/>
        </w:numPr>
        <w:rPr>
          <w:u w:val="single"/>
        </w:rPr>
      </w:pPr>
      <w:r w:rsidRPr="006E5703">
        <w:rPr>
          <w:u w:val="single"/>
        </w:rPr>
        <w:t>RESPONSIBILITIES</w:t>
      </w:r>
    </w:p>
    <w:p w14:paraId="3066062D" w14:textId="77777777" w:rsidR="006E5703" w:rsidRDefault="006E5703" w:rsidP="00BC6105"/>
    <w:p w14:paraId="3066062E" w14:textId="01003E2F" w:rsidR="006E5703" w:rsidRDefault="006E5703" w:rsidP="006E5703">
      <w:pPr>
        <w:pStyle w:val="ListParagraph"/>
        <w:numPr>
          <w:ilvl w:val="1"/>
          <w:numId w:val="1"/>
        </w:numPr>
        <w:ind w:left="900" w:hanging="540"/>
      </w:pPr>
      <w:r>
        <w:t>D</w:t>
      </w:r>
      <w:r w:rsidR="00BC6105">
        <w:t xml:space="preserve">epartment </w:t>
      </w:r>
      <w:r>
        <w:t>H</w:t>
      </w:r>
      <w:r w:rsidR="00BC6105">
        <w:t>ead</w:t>
      </w:r>
      <w:r>
        <w:t xml:space="preserve">:  </w:t>
      </w:r>
      <w:r w:rsidR="00115A08">
        <w:t>I</w:t>
      </w:r>
      <w:r w:rsidR="00BC6105">
        <w:t>nitiat</w:t>
      </w:r>
      <w:r w:rsidR="00115A08">
        <w:t>e</w:t>
      </w:r>
      <w:r w:rsidR="00BC6105">
        <w:t xml:space="preserve"> the termination processes for those employees terminating employment with </w:t>
      </w:r>
      <w:r w:rsidR="00C03747">
        <w:t>the agency</w:t>
      </w:r>
      <w:r w:rsidR="00BC6105">
        <w:t xml:space="preserve">.  This includes </w:t>
      </w:r>
      <w:r>
        <w:t xml:space="preserve">ensuring that all steps on the </w:t>
      </w:r>
      <w:hyperlink r:id="rId13" w:history="1">
        <w:r w:rsidR="00BC6105" w:rsidRPr="00115A08">
          <w:rPr>
            <w:rStyle w:val="Hyperlink"/>
          </w:rPr>
          <w:t>Employee Out-Processing Checklist – Terminating</w:t>
        </w:r>
      </w:hyperlink>
      <w:r>
        <w:t xml:space="preserve"> </w:t>
      </w:r>
      <w:r w:rsidR="008661E5">
        <w:t xml:space="preserve">form </w:t>
      </w:r>
      <w:r w:rsidR="00482900">
        <w:t xml:space="preserve">(Out-Processing Checklist) </w:t>
      </w:r>
      <w:r>
        <w:t>are promptly completed</w:t>
      </w:r>
      <w:r w:rsidR="008350A2">
        <w:t xml:space="preserve"> and the </w:t>
      </w:r>
      <w:hyperlink r:id="rId14" w:history="1">
        <w:r w:rsidR="00482900" w:rsidRPr="00115A08">
          <w:rPr>
            <w:rStyle w:val="Hyperlink"/>
          </w:rPr>
          <w:t>Form 500 Personnel/Budget Action</w:t>
        </w:r>
      </w:hyperlink>
      <w:r w:rsidR="00482900">
        <w:t xml:space="preserve"> (Form 500)</w:t>
      </w:r>
      <w:r w:rsidR="008350A2">
        <w:t xml:space="preserve"> is properly completed and promptly submitted to </w:t>
      </w:r>
      <w:r w:rsidR="00FB4177">
        <w:t>Employee Development (ED)</w:t>
      </w:r>
      <w:r w:rsidR="00BC6105">
        <w:t>.</w:t>
      </w:r>
    </w:p>
    <w:p w14:paraId="3066062F" w14:textId="77777777" w:rsidR="008350A2" w:rsidRDefault="008350A2" w:rsidP="008350A2">
      <w:pPr>
        <w:pStyle w:val="ListParagraph"/>
        <w:ind w:left="900"/>
      </w:pPr>
    </w:p>
    <w:p w14:paraId="30660630" w14:textId="77777777" w:rsidR="008350A2" w:rsidRDefault="00FB4177" w:rsidP="006E5703">
      <w:pPr>
        <w:pStyle w:val="ListParagraph"/>
        <w:numPr>
          <w:ilvl w:val="1"/>
          <w:numId w:val="1"/>
        </w:numPr>
        <w:ind w:left="900" w:hanging="540"/>
      </w:pPr>
      <w:r>
        <w:t>ED</w:t>
      </w:r>
      <w:r w:rsidR="006E5703">
        <w:t xml:space="preserve">:  </w:t>
      </w:r>
      <w:r w:rsidR="00115A08">
        <w:t>R</w:t>
      </w:r>
      <w:r w:rsidR="008350A2">
        <w:t>eview</w:t>
      </w:r>
      <w:r w:rsidR="006E5703">
        <w:t xml:space="preserve"> the </w:t>
      </w:r>
      <w:r w:rsidR="008350A2">
        <w:t xml:space="preserve">termination packet to verify that all steps </w:t>
      </w:r>
      <w:r w:rsidR="00482900">
        <w:t xml:space="preserve">on the Out-Processing Checklist </w:t>
      </w:r>
      <w:r w:rsidR="00B31B1A">
        <w:t xml:space="preserve">are </w:t>
      </w:r>
      <w:r w:rsidR="008350A2">
        <w:t>properly completed and documented.</w:t>
      </w:r>
    </w:p>
    <w:p w14:paraId="30660631" w14:textId="77777777" w:rsidR="008350A2" w:rsidRDefault="008350A2" w:rsidP="008350A2"/>
    <w:p w14:paraId="30660632" w14:textId="77777777" w:rsidR="00BC6105" w:rsidRDefault="008350A2" w:rsidP="006E5703">
      <w:pPr>
        <w:pStyle w:val="ListParagraph"/>
        <w:numPr>
          <w:ilvl w:val="1"/>
          <w:numId w:val="1"/>
        </w:numPr>
        <w:ind w:left="900" w:hanging="540"/>
      </w:pPr>
      <w:r>
        <w:t>Payroll and Support Services</w:t>
      </w:r>
      <w:r w:rsidR="00115A08">
        <w:t xml:space="preserve"> Department</w:t>
      </w:r>
      <w:r>
        <w:t xml:space="preserve">:  </w:t>
      </w:r>
      <w:r w:rsidR="00115A08">
        <w:t>V</w:t>
      </w:r>
      <w:r>
        <w:t xml:space="preserve">erify proper completion of </w:t>
      </w:r>
      <w:r w:rsidR="00B31B1A">
        <w:t xml:space="preserve">the </w:t>
      </w:r>
      <w:r>
        <w:t>Form 500.</w:t>
      </w:r>
    </w:p>
    <w:p w14:paraId="30660633" w14:textId="77777777" w:rsidR="006E5703" w:rsidRDefault="006E5703" w:rsidP="00BC6105"/>
    <w:p w14:paraId="30660634" w14:textId="77777777" w:rsidR="00BC6105" w:rsidRPr="008350A2" w:rsidRDefault="008350A2" w:rsidP="008350A2">
      <w:pPr>
        <w:pStyle w:val="ListParagraph"/>
        <w:numPr>
          <w:ilvl w:val="0"/>
          <w:numId w:val="1"/>
        </w:numPr>
        <w:rPr>
          <w:u w:val="single"/>
        </w:rPr>
      </w:pPr>
      <w:r w:rsidRPr="008350A2">
        <w:rPr>
          <w:u w:val="single"/>
        </w:rPr>
        <w:t>TERMINATION PROCEDURES</w:t>
      </w:r>
    </w:p>
    <w:p w14:paraId="30660635" w14:textId="77777777" w:rsidR="008350A2" w:rsidRDefault="008350A2" w:rsidP="00BC6105"/>
    <w:p w14:paraId="30660636" w14:textId="77777777" w:rsidR="00FB3F6C" w:rsidRDefault="00FB3F6C" w:rsidP="00D70D8B">
      <w:pPr>
        <w:pStyle w:val="ListParagraph"/>
        <w:numPr>
          <w:ilvl w:val="1"/>
          <w:numId w:val="1"/>
        </w:numPr>
        <w:ind w:left="900" w:hanging="540"/>
      </w:pPr>
      <w:r>
        <w:t xml:space="preserve">When an employee moves from a budgeted position to a seasonal position with no break in service, the action should be handled as a transfer and not as a termination. </w:t>
      </w:r>
    </w:p>
    <w:p w14:paraId="30660637" w14:textId="77777777" w:rsidR="00FB3F6C" w:rsidRDefault="00FB3F6C" w:rsidP="00606B50">
      <w:pPr>
        <w:pStyle w:val="ListParagraph"/>
        <w:ind w:left="900"/>
      </w:pPr>
    </w:p>
    <w:p w14:paraId="30660638" w14:textId="77777777" w:rsidR="00D70D8B" w:rsidRDefault="00BC6105" w:rsidP="00D70D8B">
      <w:pPr>
        <w:pStyle w:val="ListParagraph"/>
        <w:numPr>
          <w:ilvl w:val="1"/>
          <w:numId w:val="1"/>
        </w:numPr>
        <w:ind w:left="900" w:hanging="540"/>
      </w:pPr>
      <w:r>
        <w:t xml:space="preserve">When a department is notified of </w:t>
      </w:r>
      <w:r w:rsidR="007223FA">
        <w:t xml:space="preserve">an approaching </w:t>
      </w:r>
      <w:r w:rsidR="00D70D8B">
        <w:t>or immediate termination of e</w:t>
      </w:r>
      <w:r>
        <w:t>mployment, th</w:t>
      </w:r>
      <w:r w:rsidR="00D70D8B">
        <w:t>e</w:t>
      </w:r>
      <w:r>
        <w:t xml:space="preserve"> department must immediately notify </w:t>
      </w:r>
      <w:r w:rsidR="00FB4177">
        <w:t xml:space="preserve">ED </w:t>
      </w:r>
      <w:r>
        <w:t>by email of the termination</w:t>
      </w:r>
      <w:r w:rsidR="007223FA">
        <w:t>.</w:t>
      </w:r>
      <w:r>
        <w:t xml:space="preserve"> </w:t>
      </w:r>
      <w:r w:rsidR="007223FA">
        <w:t>Department head or authorized staff must provide the notification to ED</w:t>
      </w:r>
      <w:r w:rsidR="008E5720">
        <w:t>, and include both the employee's termination date and the last day in office.</w:t>
      </w:r>
      <w:r>
        <w:t xml:space="preserve">  </w:t>
      </w:r>
      <w:r w:rsidR="00D70D8B">
        <w:t>The effective termination dates for s</w:t>
      </w:r>
      <w:r>
        <w:t>easonal employee</w:t>
      </w:r>
      <w:r w:rsidR="00D70D8B">
        <w:t>s</w:t>
      </w:r>
      <w:r>
        <w:t xml:space="preserve"> will be </w:t>
      </w:r>
      <w:r w:rsidR="007223FA">
        <w:t>the date of notification to ED.</w:t>
      </w:r>
    </w:p>
    <w:p w14:paraId="30660639" w14:textId="77777777" w:rsidR="00AC3710" w:rsidRDefault="00AC3710" w:rsidP="00AC3710">
      <w:pPr>
        <w:pStyle w:val="ListParagraph"/>
        <w:ind w:left="900"/>
      </w:pPr>
    </w:p>
    <w:p w14:paraId="3066063A" w14:textId="77777777" w:rsidR="00B665FA" w:rsidRDefault="00AC3710" w:rsidP="00AC3710">
      <w:pPr>
        <w:pStyle w:val="ListParagraph"/>
        <w:numPr>
          <w:ilvl w:val="1"/>
          <w:numId w:val="1"/>
        </w:numPr>
        <w:ind w:left="900" w:hanging="540"/>
      </w:pPr>
      <w:r>
        <w:t xml:space="preserve">Upon notification </w:t>
      </w:r>
      <w:r w:rsidR="00821E24">
        <w:t>o</w:t>
      </w:r>
      <w:r>
        <w:t xml:space="preserve">f an impending termination, </w:t>
      </w:r>
      <w:r w:rsidR="00FB4177">
        <w:t xml:space="preserve">ED </w:t>
      </w:r>
      <w:r>
        <w:t>utilize</w:t>
      </w:r>
      <w:r w:rsidR="001071BC">
        <w:t>s</w:t>
      </w:r>
      <w:r>
        <w:t xml:space="preserve"> EPSTAR to notify all appropriate parties in a timely manner.  </w:t>
      </w:r>
    </w:p>
    <w:p w14:paraId="3066063B" w14:textId="77777777" w:rsidR="00B665FA" w:rsidRDefault="00B665FA" w:rsidP="00906851"/>
    <w:p w14:paraId="3066063C" w14:textId="77777777" w:rsidR="00AC3710" w:rsidRDefault="00B665FA" w:rsidP="00906851">
      <w:pPr>
        <w:ind w:left="900" w:hanging="540"/>
      </w:pPr>
      <w:r>
        <w:tab/>
      </w:r>
      <w:r w:rsidR="00AC3710">
        <w:t>Th</w:t>
      </w:r>
      <w:r w:rsidR="00587C98">
        <w:t>is</w:t>
      </w:r>
      <w:r w:rsidR="00AC3710">
        <w:t xml:space="preserve"> </w:t>
      </w:r>
      <w:r>
        <w:t>notification</w:t>
      </w:r>
      <w:r w:rsidR="00AC3710">
        <w:t xml:space="preserve"> include</w:t>
      </w:r>
      <w:r w:rsidR="007617BF">
        <w:t>s</w:t>
      </w:r>
      <w:r w:rsidR="00AC3710">
        <w:t xml:space="preserve"> persons responsible for timely </w:t>
      </w:r>
      <w:r w:rsidR="00587C98">
        <w:t xml:space="preserve">cancellation </w:t>
      </w:r>
      <w:r w:rsidR="00AC3710">
        <w:t xml:space="preserve">of access to </w:t>
      </w:r>
      <w:r w:rsidR="00DD0A59">
        <w:t>information</w:t>
      </w:r>
      <w:r w:rsidR="00AC3710">
        <w:t xml:space="preserve"> resources, </w:t>
      </w:r>
      <w:r w:rsidR="00587C98">
        <w:t xml:space="preserve">cancellation of </w:t>
      </w:r>
      <w:r w:rsidR="00AC3710">
        <w:t>credit card</w:t>
      </w:r>
      <w:r w:rsidR="00587C98">
        <w:t>, return of keys and other property</w:t>
      </w:r>
      <w:r w:rsidR="00AC3710">
        <w:t xml:space="preserve"> and other actions associated with termination.</w:t>
      </w:r>
    </w:p>
    <w:p w14:paraId="3066063D" w14:textId="77777777" w:rsidR="008661E5" w:rsidRDefault="008661E5" w:rsidP="008661E5">
      <w:pPr>
        <w:pStyle w:val="ListParagraph"/>
        <w:ind w:left="900"/>
      </w:pPr>
    </w:p>
    <w:p w14:paraId="3066063E" w14:textId="77777777" w:rsidR="00AC3710" w:rsidRDefault="00BC6105" w:rsidP="00992A8B">
      <w:pPr>
        <w:pStyle w:val="ListParagraph"/>
        <w:numPr>
          <w:ilvl w:val="1"/>
          <w:numId w:val="1"/>
        </w:numPr>
        <w:ind w:left="900" w:hanging="540"/>
      </w:pPr>
      <w:r>
        <w:t>Th</w:t>
      </w:r>
      <w:r w:rsidR="00587C98">
        <w:t>e</w:t>
      </w:r>
      <w:r>
        <w:t xml:space="preserve"> department start</w:t>
      </w:r>
      <w:r w:rsidR="001071BC">
        <w:t>s</w:t>
      </w:r>
      <w:r>
        <w:t xml:space="preserve"> documentation of th</w:t>
      </w:r>
      <w:r w:rsidR="00AC3710">
        <w:t>e termination</w:t>
      </w:r>
      <w:r>
        <w:t xml:space="preserve"> process with the </w:t>
      </w:r>
      <w:r w:rsidR="00482900">
        <w:t>Out-Processing Checklist</w:t>
      </w:r>
      <w:r>
        <w:t xml:space="preserve"> to ensure timely and complete processing of the terminating employee.  This include</w:t>
      </w:r>
      <w:r w:rsidR="001071BC">
        <w:t>s</w:t>
      </w:r>
      <w:r>
        <w:t xml:space="preserve"> dating each step completed and the signature of both the person completing the form and the terminating </w:t>
      </w:r>
      <w:r w:rsidR="008661E5">
        <w:t>employee.</w:t>
      </w:r>
      <w:r w:rsidR="00AC3710">
        <w:t xml:space="preserve">  All </w:t>
      </w:r>
      <w:r w:rsidR="00821E24">
        <w:t>steps on the checklist</w:t>
      </w:r>
      <w:r w:rsidR="00AC3710">
        <w:t xml:space="preserve"> should be completed </w:t>
      </w:r>
      <w:r w:rsidR="00115A08">
        <w:t xml:space="preserve">by </w:t>
      </w:r>
      <w:r w:rsidR="00AC3710">
        <w:lastRenderedPageBreak/>
        <w:t>the termination date of the employee.</w:t>
      </w:r>
      <w:r w:rsidR="00992A8B">
        <w:t xml:space="preserve">  The completed </w:t>
      </w:r>
      <w:r w:rsidR="00482900">
        <w:t>Out-Processing Checklist</w:t>
      </w:r>
      <w:r w:rsidR="00992A8B">
        <w:t xml:space="preserve"> must be submitted to </w:t>
      </w:r>
      <w:r w:rsidR="00FB4177">
        <w:t xml:space="preserve">ED </w:t>
      </w:r>
      <w:r w:rsidR="00F2373B">
        <w:t xml:space="preserve">no later than the </w:t>
      </w:r>
      <w:r w:rsidR="00992A8B">
        <w:t xml:space="preserve">termination </w:t>
      </w:r>
      <w:r w:rsidR="00F2373B">
        <w:t xml:space="preserve">date </w:t>
      </w:r>
      <w:r w:rsidR="00992A8B">
        <w:t>to be included in the employee</w:t>
      </w:r>
      <w:r w:rsidR="00115A08">
        <w:t>’</w:t>
      </w:r>
      <w:r w:rsidR="00992A8B">
        <w:t>s personnel file.</w:t>
      </w:r>
    </w:p>
    <w:p w14:paraId="3066063F" w14:textId="77777777" w:rsidR="00AC3710" w:rsidRDefault="00AC3710" w:rsidP="00AC3710">
      <w:pPr>
        <w:pStyle w:val="ListParagraph"/>
      </w:pPr>
    </w:p>
    <w:p w14:paraId="30660640" w14:textId="77777777" w:rsidR="00992A8B" w:rsidRDefault="00AC3710" w:rsidP="009B28F2">
      <w:pPr>
        <w:pStyle w:val="ListParagraph"/>
        <w:numPr>
          <w:ilvl w:val="1"/>
          <w:numId w:val="1"/>
        </w:numPr>
        <w:tabs>
          <w:tab w:val="left" w:pos="1980"/>
        </w:tabs>
        <w:ind w:left="900" w:hanging="540"/>
      </w:pPr>
      <w:r>
        <w:t>The department complete</w:t>
      </w:r>
      <w:r w:rsidR="007617BF">
        <w:t>s</w:t>
      </w:r>
      <w:r>
        <w:t xml:space="preserve"> </w:t>
      </w:r>
      <w:r w:rsidR="00177838">
        <w:t>a F</w:t>
      </w:r>
      <w:r>
        <w:t>orm 500</w:t>
      </w:r>
      <w:r w:rsidR="00177838">
        <w:t xml:space="preserve"> </w:t>
      </w:r>
      <w:r w:rsidR="00992A8B">
        <w:t>and submit</w:t>
      </w:r>
      <w:r w:rsidR="007617BF">
        <w:t>s</w:t>
      </w:r>
      <w:r w:rsidR="00992A8B">
        <w:t xml:space="preserve"> it to </w:t>
      </w:r>
      <w:r w:rsidR="00FB4177">
        <w:t xml:space="preserve">ED </w:t>
      </w:r>
      <w:r w:rsidR="00177838">
        <w:t xml:space="preserve">to </w:t>
      </w:r>
      <w:r w:rsidR="00992A8B">
        <w:t>terminate the employee</w:t>
      </w:r>
      <w:r w:rsidR="002927BB">
        <w:t xml:space="preserve"> as early as possible, but no later than the termination date</w:t>
      </w:r>
      <w:r w:rsidR="00992A8B">
        <w:t xml:space="preserve">.  Administrative Procedure </w:t>
      </w:r>
      <w:hyperlink r:id="rId15" w:history="1">
        <w:r w:rsidR="00992A8B" w:rsidRPr="00115A08">
          <w:rPr>
            <w:rStyle w:val="Hyperlink"/>
          </w:rPr>
          <w:t>30.01</w:t>
        </w:r>
      </w:hyperlink>
      <w:r w:rsidR="00992A8B">
        <w:t xml:space="preserve"> Personnel Action Request </w:t>
      </w:r>
      <w:r w:rsidR="007617BF">
        <w:t xml:space="preserve">provides </w:t>
      </w:r>
      <w:r w:rsidR="00992A8B">
        <w:t xml:space="preserve">guidance on completing this form.  </w:t>
      </w:r>
      <w:r w:rsidR="007617BF">
        <w:t>The department should not delay s</w:t>
      </w:r>
      <w:r w:rsidR="00DA3732">
        <w:t xml:space="preserve">ubmission of the Form 500 because of incomplete </w:t>
      </w:r>
      <w:r w:rsidR="007617BF">
        <w:t xml:space="preserve">items on the </w:t>
      </w:r>
      <w:r w:rsidR="00DA3732" w:rsidRPr="006E5703">
        <w:t>Out-Processing Checklist</w:t>
      </w:r>
      <w:r w:rsidR="00DA3732">
        <w:t>.</w:t>
      </w:r>
    </w:p>
    <w:p w14:paraId="30660641" w14:textId="77777777" w:rsidR="008661E5" w:rsidRDefault="008661E5" w:rsidP="00992A8B"/>
    <w:p w14:paraId="30660642" w14:textId="77777777" w:rsidR="00992A8B" w:rsidRDefault="00FB4177" w:rsidP="00AC3710">
      <w:pPr>
        <w:pStyle w:val="ListParagraph"/>
        <w:numPr>
          <w:ilvl w:val="1"/>
          <w:numId w:val="1"/>
        </w:numPr>
        <w:ind w:left="900" w:hanging="540"/>
      </w:pPr>
      <w:r>
        <w:t xml:space="preserve">ED </w:t>
      </w:r>
      <w:r w:rsidR="00BC6105">
        <w:t xml:space="preserve">and </w:t>
      </w:r>
      <w:r w:rsidR="00115A08">
        <w:t xml:space="preserve">the </w:t>
      </w:r>
      <w:r w:rsidR="00BC6105">
        <w:t xml:space="preserve">Payroll </w:t>
      </w:r>
      <w:r w:rsidR="00115A08">
        <w:t xml:space="preserve">and Support Services Department </w:t>
      </w:r>
      <w:r w:rsidR="008661E5">
        <w:t xml:space="preserve">monitor to </w:t>
      </w:r>
      <w:r w:rsidR="00BC6105">
        <w:t xml:space="preserve">ensure </w:t>
      </w:r>
      <w:r w:rsidR="008661E5">
        <w:t xml:space="preserve">that </w:t>
      </w:r>
      <w:r w:rsidR="00BC6105">
        <w:t>all Form 500 processing occur</w:t>
      </w:r>
      <w:r w:rsidR="008661E5">
        <w:t>s</w:t>
      </w:r>
      <w:r w:rsidR="00BC6105">
        <w:t xml:space="preserve"> within </w:t>
      </w:r>
      <w:r w:rsidR="00115A08">
        <w:t xml:space="preserve">five </w:t>
      </w:r>
      <w:r w:rsidR="00BC6105">
        <w:t>business</w:t>
      </w:r>
      <w:r w:rsidR="008661E5">
        <w:t xml:space="preserve"> </w:t>
      </w:r>
      <w:r w:rsidR="00BC6105">
        <w:t>days of the employee’s termination date.  The termination date will be verified by</w:t>
      </w:r>
      <w:r w:rsidR="008661E5">
        <w:t xml:space="preserve"> </w:t>
      </w:r>
      <w:r>
        <w:t xml:space="preserve">ED </w:t>
      </w:r>
      <w:r w:rsidR="00BC6105">
        <w:t>for accuracy.</w:t>
      </w:r>
    </w:p>
    <w:p w14:paraId="30660643" w14:textId="77777777" w:rsidR="00992A8B" w:rsidRDefault="00992A8B" w:rsidP="00992A8B">
      <w:pPr>
        <w:pStyle w:val="ListParagraph"/>
      </w:pPr>
    </w:p>
    <w:p w14:paraId="30660644" w14:textId="77777777" w:rsidR="0019512E" w:rsidRDefault="00BC6105" w:rsidP="0019512E">
      <w:pPr>
        <w:pStyle w:val="ListParagraph"/>
        <w:numPr>
          <w:ilvl w:val="1"/>
          <w:numId w:val="1"/>
        </w:numPr>
        <w:ind w:left="900" w:hanging="540"/>
      </w:pPr>
      <w:r>
        <w:t xml:space="preserve">Departments must </w:t>
      </w:r>
      <w:r w:rsidR="0019512E">
        <w:t xml:space="preserve">ensure that </w:t>
      </w:r>
      <w:r>
        <w:t xml:space="preserve">all property issued to </w:t>
      </w:r>
      <w:r w:rsidR="0019512E">
        <w:t xml:space="preserve">the terminating employee is </w:t>
      </w:r>
      <w:r w:rsidR="00992A8B">
        <w:t xml:space="preserve">returned </w:t>
      </w:r>
      <w:r w:rsidR="006E384B">
        <w:t>by</w:t>
      </w:r>
      <w:r w:rsidR="0019512E">
        <w:t xml:space="preserve"> the termination date</w:t>
      </w:r>
      <w:r>
        <w:t>.</w:t>
      </w:r>
      <w:r w:rsidR="0019512E">
        <w:t xml:space="preserve">  The </w:t>
      </w:r>
      <w:r w:rsidR="0019512E" w:rsidRPr="006E5703">
        <w:t>Out-Processing Checklist</w:t>
      </w:r>
      <w:r w:rsidR="0019512E">
        <w:t xml:space="preserve"> identifies common items, but does not provide an all-inclusive list.</w:t>
      </w:r>
    </w:p>
    <w:p w14:paraId="30660645" w14:textId="77777777" w:rsidR="0019512E" w:rsidRDefault="0019512E" w:rsidP="0019512E">
      <w:pPr>
        <w:pStyle w:val="ListParagraph"/>
      </w:pPr>
    </w:p>
    <w:p w14:paraId="30660646" w14:textId="015E3F76" w:rsidR="0019512E" w:rsidRDefault="0019512E" w:rsidP="00BC6105">
      <w:pPr>
        <w:pStyle w:val="ListParagraph"/>
        <w:numPr>
          <w:ilvl w:val="1"/>
          <w:numId w:val="1"/>
        </w:numPr>
        <w:ind w:left="900" w:hanging="540"/>
      </w:pPr>
      <w:r>
        <w:t>The designated key coordinator for each office location is responsible for collecting keys</w:t>
      </w:r>
      <w:r w:rsidR="00115A08">
        <w:t>.</w:t>
      </w:r>
      <w:r w:rsidR="00821E24">
        <w:t xml:space="preserve"> </w:t>
      </w:r>
      <w:r w:rsidR="00115A08">
        <w:t xml:space="preserve"> </w:t>
      </w:r>
      <w:r w:rsidR="00D52338">
        <w:t>If electronic access is used for keyless access to an office location, ensure the electronic access code is changed.</w:t>
      </w:r>
      <w:r w:rsidR="00DC7D12">
        <w:t xml:space="preserve"> </w:t>
      </w:r>
      <w:r w:rsidR="00821E24">
        <w:t>(</w:t>
      </w:r>
      <w:r w:rsidR="00115A08">
        <w:t>S</w:t>
      </w:r>
      <w:r w:rsidR="00821E24">
        <w:t>ee</w:t>
      </w:r>
      <w:r>
        <w:t xml:space="preserve"> </w:t>
      </w:r>
      <w:hyperlink r:id="rId16" w:history="1">
        <w:r w:rsidRPr="006E384B">
          <w:rPr>
            <w:rStyle w:val="Hyperlink"/>
          </w:rPr>
          <w:t>Key</w:t>
        </w:r>
        <w:r w:rsidR="00DC7D12">
          <w:rPr>
            <w:rStyle w:val="Hyperlink"/>
          </w:rPr>
          <w:t>/Electronic Access</w:t>
        </w:r>
        <w:r w:rsidRPr="006E384B">
          <w:rPr>
            <w:rStyle w:val="Hyperlink"/>
          </w:rPr>
          <w:t xml:space="preserve"> Control</w:t>
        </w:r>
      </w:hyperlink>
      <w:r>
        <w:t xml:space="preserve"> guideline</w:t>
      </w:r>
      <w:r w:rsidR="006133D8">
        <w:t>.</w:t>
      </w:r>
      <w:r w:rsidR="00821E24">
        <w:t>)</w:t>
      </w:r>
    </w:p>
    <w:p w14:paraId="30660647" w14:textId="77777777" w:rsidR="0019512E" w:rsidRDefault="0019512E" w:rsidP="0019512E">
      <w:pPr>
        <w:pStyle w:val="ListParagraph"/>
      </w:pPr>
    </w:p>
    <w:p w14:paraId="30660648" w14:textId="17B52FB1" w:rsidR="00BC6105" w:rsidRDefault="009D1F7C" w:rsidP="00BC6105">
      <w:pPr>
        <w:pStyle w:val="ListParagraph"/>
        <w:numPr>
          <w:ilvl w:val="1"/>
          <w:numId w:val="1"/>
        </w:numPr>
        <w:ind w:left="900" w:hanging="540"/>
      </w:pPr>
      <w:r>
        <w:t xml:space="preserve">The security officer for each application is responsible for removing access to </w:t>
      </w:r>
      <w:r w:rsidR="00DD0A59">
        <w:t>information</w:t>
      </w:r>
      <w:r w:rsidR="00BC6105">
        <w:t xml:space="preserve"> resources</w:t>
      </w:r>
      <w:r>
        <w:t xml:space="preserve"> within one day of the employee’s termination date, </w:t>
      </w:r>
      <w:r w:rsidR="00BC6105">
        <w:t xml:space="preserve">in accordance with </w:t>
      </w:r>
      <w:r w:rsidR="00C03747">
        <w:t xml:space="preserve">Texas A&amp;M Forest Service </w:t>
      </w:r>
      <w:r w:rsidR="00BC6105">
        <w:t xml:space="preserve">and </w:t>
      </w:r>
      <w:r w:rsidR="006133D8">
        <w:t>A&amp;M System</w:t>
      </w:r>
      <w:r w:rsidR="00BC6105">
        <w:t xml:space="preserve"> polic</w:t>
      </w:r>
      <w:r w:rsidR="006133D8">
        <w:t>ies</w:t>
      </w:r>
      <w:r w:rsidR="00BC6105">
        <w:t xml:space="preserve"> and</w:t>
      </w:r>
      <w:r>
        <w:t xml:space="preserve"> procedures.</w:t>
      </w:r>
      <w:r w:rsidR="00A54322">
        <w:t xml:space="preserve">  </w:t>
      </w:r>
    </w:p>
    <w:p w14:paraId="30660649" w14:textId="77777777" w:rsidR="00A54322" w:rsidRDefault="00A54322" w:rsidP="00906851">
      <w:pPr>
        <w:pStyle w:val="ListParagraph"/>
      </w:pPr>
    </w:p>
    <w:p w14:paraId="3066064A" w14:textId="77777777" w:rsidR="00A54322" w:rsidRDefault="009B28F2" w:rsidP="009B28F2">
      <w:pPr>
        <w:tabs>
          <w:tab w:val="left" w:pos="900"/>
          <w:tab w:val="left" w:pos="990"/>
        </w:tabs>
        <w:ind w:left="360" w:hanging="90"/>
      </w:pPr>
      <w:r>
        <w:t>3.10</w:t>
      </w:r>
      <w:r>
        <w:tab/>
      </w:r>
      <w:r w:rsidR="00587C98">
        <w:t xml:space="preserve">This table provides a summary of key deadlines and tasks associated with employee </w:t>
      </w:r>
      <w:r>
        <w:tab/>
      </w:r>
      <w:r w:rsidR="00587C98">
        <w:t>termination.</w:t>
      </w:r>
    </w:p>
    <w:p w14:paraId="3066064B" w14:textId="77777777" w:rsidR="00A54322" w:rsidRDefault="00A54322" w:rsidP="00906851">
      <w:pPr>
        <w:pStyle w:val="ListParagraph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130"/>
        <w:gridCol w:w="1957"/>
        <w:gridCol w:w="3450"/>
        <w:gridCol w:w="1345"/>
      </w:tblGrid>
      <w:tr w:rsidR="00A54322" w:rsidRPr="00A54322" w14:paraId="30660651" w14:textId="77777777" w:rsidTr="009B28F2">
        <w:tc>
          <w:tcPr>
            <w:tcW w:w="2130" w:type="dxa"/>
            <w:vAlign w:val="center"/>
          </w:tcPr>
          <w:p w14:paraId="3066064C" w14:textId="77777777" w:rsidR="00A54322" w:rsidRPr="009B28F2" w:rsidRDefault="00A54322" w:rsidP="009068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B28F2">
              <w:rPr>
                <w:b/>
                <w:sz w:val="20"/>
                <w:szCs w:val="20"/>
              </w:rPr>
              <w:t>Due Date</w:t>
            </w:r>
          </w:p>
          <w:p w14:paraId="3066064D" w14:textId="77777777" w:rsidR="00F2373B" w:rsidRPr="009B28F2" w:rsidRDefault="00F2373B" w:rsidP="009068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B28F2">
              <w:rPr>
                <w:b/>
                <w:sz w:val="20"/>
                <w:szCs w:val="20"/>
              </w:rPr>
              <w:t>(no later than)</w:t>
            </w:r>
          </w:p>
        </w:tc>
        <w:tc>
          <w:tcPr>
            <w:tcW w:w="1957" w:type="dxa"/>
            <w:vAlign w:val="center"/>
          </w:tcPr>
          <w:p w14:paraId="3066064E" w14:textId="77777777" w:rsidR="00A54322" w:rsidRPr="009B28F2" w:rsidRDefault="00A54322" w:rsidP="009068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B28F2">
              <w:rPr>
                <w:b/>
                <w:sz w:val="20"/>
                <w:szCs w:val="20"/>
              </w:rPr>
              <w:t>Responsible Person</w:t>
            </w:r>
          </w:p>
        </w:tc>
        <w:tc>
          <w:tcPr>
            <w:tcW w:w="3450" w:type="dxa"/>
            <w:vAlign w:val="center"/>
          </w:tcPr>
          <w:p w14:paraId="3066064F" w14:textId="77777777" w:rsidR="00A54322" w:rsidRPr="009B28F2" w:rsidRDefault="00A54322" w:rsidP="0090685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B28F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345" w:type="dxa"/>
            <w:vAlign w:val="center"/>
          </w:tcPr>
          <w:p w14:paraId="30660650" w14:textId="77777777" w:rsidR="00A54322" w:rsidRPr="009B28F2" w:rsidRDefault="00A54322" w:rsidP="0068613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B28F2">
              <w:rPr>
                <w:b/>
                <w:sz w:val="20"/>
                <w:szCs w:val="20"/>
              </w:rPr>
              <w:t>Section Reference</w:t>
            </w:r>
          </w:p>
        </w:tc>
      </w:tr>
      <w:tr w:rsidR="00A54322" w14:paraId="30660656" w14:textId="77777777" w:rsidTr="009B28F2">
        <w:tc>
          <w:tcPr>
            <w:tcW w:w="2130" w:type="dxa"/>
          </w:tcPr>
          <w:p w14:paraId="30660652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When notified</w:t>
            </w:r>
          </w:p>
        </w:tc>
        <w:tc>
          <w:tcPr>
            <w:tcW w:w="1957" w:type="dxa"/>
          </w:tcPr>
          <w:p w14:paraId="30660653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Department head</w:t>
            </w:r>
          </w:p>
        </w:tc>
        <w:tc>
          <w:tcPr>
            <w:tcW w:w="3450" w:type="dxa"/>
          </w:tcPr>
          <w:p w14:paraId="30660654" w14:textId="77777777" w:rsidR="00A54322" w:rsidRPr="009B28F2" w:rsidRDefault="00A54322" w:rsidP="00FB4177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 xml:space="preserve">Notify </w:t>
            </w:r>
            <w:r w:rsidR="00FB4177" w:rsidRPr="009B28F2">
              <w:rPr>
                <w:sz w:val="20"/>
                <w:szCs w:val="20"/>
              </w:rPr>
              <w:t>ED</w:t>
            </w:r>
          </w:p>
        </w:tc>
        <w:tc>
          <w:tcPr>
            <w:tcW w:w="1345" w:type="dxa"/>
          </w:tcPr>
          <w:p w14:paraId="30660655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2</w:t>
            </w:r>
          </w:p>
        </w:tc>
      </w:tr>
      <w:tr w:rsidR="00A54322" w14:paraId="3066065B" w14:textId="77777777" w:rsidTr="009B28F2">
        <w:tc>
          <w:tcPr>
            <w:tcW w:w="2130" w:type="dxa"/>
          </w:tcPr>
          <w:p w14:paraId="30660657" w14:textId="77777777" w:rsidR="00A54322" w:rsidRPr="009B28F2" w:rsidRDefault="006B5377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When notified</w:t>
            </w:r>
          </w:p>
        </w:tc>
        <w:tc>
          <w:tcPr>
            <w:tcW w:w="1957" w:type="dxa"/>
          </w:tcPr>
          <w:p w14:paraId="30660658" w14:textId="77777777" w:rsidR="00A54322" w:rsidRPr="009B28F2" w:rsidRDefault="00FB4177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ED</w:t>
            </w:r>
          </w:p>
        </w:tc>
        <w:tc>
          <w:tcPr>
            <w:tcW w:w="3450" w:type="dxa"/>
          </w:tcPr>
          <w:p w14:paraId="30660659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EPSTAR notification</w:t>
            </w:r>
          </w:p>
        </w:tc>
        <w:tc>
          <w:tcPr>
            <w:tcW w:w="1345" w:type="dxa"/>
          </w:tcPr>
          <w:p w14:paraId="3066065A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3</w:t>
            </w:r>
          </w:p>
        </w:tc>
      </w:tr>
      <w:tr w:rsidR="00A54322" w14:paraId="30660660" w14:textId="77777777" w:rsidTr="009B28F2">
        <w:tc>
          <w:tcPr>
            <w:tcW w:w="2130" w:type="dxa"/>
          </w:tcPr>
          <w:p w14:paraId="3066065C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Termination date</w:t>
            </w:r>
          </w:p>
        </w:tc>
        <w:tc>
          <w:tcPr>
            <w:tcW w:w="1957" w:type="dxa"/>
          </w:tcPr>
          <w:p w14:paraId="3066065D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Department head</w:t>
            </w:r>
          </w:p>
        </w:tc>
        <w:tc>
          <w:tcPr>
            <w:tcW w:w="3450" w:type="dxa"/>
          </w:tcPr>
          <w:p w14:paraId="3066065E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Submit Form 500</w:t>
            </w:r>
            <w:r w:rsidR="00FB4177" w:rsidRPr="009B28F2">
              <w:rPr>
                <w:sz w:val="20"/>
                <w:szCs w:val="20"/>
              </w:rPr>
              <w:t xml:space="preserve"> to ED</w:t>
            </w:r>
          </w:p>
        </w:tc>
        <w:tc>
          <w:tcPr>
            <w:tcW w:w="1345" w:type="dxa"/>
          </w:tcPr>
          <w:p w14:paraId="3066065F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5</w:t>
            </w:r>
          </w:p>
        </w:tc>
      </w:tr>
      <w:tr w:rsidR="00A54322" w14:paraId="30660665" w14:textId="77777777" w:rsidTr="009B28F2">
        <w:tc>
          <w:tcPr>
            <w:tcW w:w="2130" w:type="dxa"/>
          </w:tcPr>
          <w:p w14:paraId="30660661" w14:textId="77777777" w:rsidR="00A54322" w:rsidRPr="009B28F2" w:rsidRDefault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Termination date</w:t>
            </w:r>
          </w:p>
        </w:tc>
        <w:tc>
          <w:tcPr>
            <w:tcW w:w="1957" w:type="dxa"/>
          </w:tcPr>
          <w:p w14:paraId="30660662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Department head</w:t>
            </w:r>
          </w:p>
        </w:tc>
        <w:tc>
          <w:tcPr>
            <w:tcW w:w="3450" w:type="dxa"/>
          </w:tcPr>
          <w:p w14:paraId="30660663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Property turn-in</w:t>
            </w:r>
          </w:p>
        </w:tc>
        <w:tc>
          <w:tcPr>
            <w:tcW w:w="1345" w:type="dxa"/>
          </w:tcPr>
          <w:p w14:paraId="30660664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7</w:t>
            </w:r>
          </w:p>
        </w:tc>
      </w:tr>
      <w:tr w:rsidR="00A54322" w14:paraId="3066066A" w14:textId="77777777" w:rsidTr="009B28F2">
        <w:tc>
          <w:tcPr>
            <w:tcW w:w="2130" w:type="dxa"/>
          </w:tcPr>
          <w:p w14:paraId="30660666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Termination date</w:t>
            </w:r>
          </w:p>
        </w:tc>
        <w:tc>
          <w:tcPr>
            <w:tcW w:w="1957" w:type="dxa"/>
          </w:tcPr>
          <w:p w14:paraId="30660667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Key coordinator</w:t>
            </w:r>
          </w:p>
        </w:tc>
        <w:tc>
          <w:tcPr>
            <w:tcW w:w="3450" w:type="dxa"/>
          </w:tcPr>
          <w:p w14:paraId="30660668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Key turn-in</w:t>
            </w:r>
          </w:p>
        </w:tc>
        <w:tc>
          <w:tcPr>
            <w:tcW w:w="1345" w:type="dxa"/>
          </w:tcPr>
          <w:p w14:paraId="30660669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8</w:t>
            </w:r>
          </w:p>
        </w:tc>
      </w:tr>
      <w:tr w:rsidR="00F2373B" w14:paraId="3066066F" w14:textId="77777777" w:rsidTr="009B28F2">
        <w:tc>
          <w:tcPr>
            <w:tcW w:w="2130" w:type="dxa"/>
          </w:tcPr>
          <w:p w14:paraId="3066066B" w14:textId="77777777" w:rsidR="00F2373B" w:rsidRPr="009B28F2" w:rsidRDefault="00F2373B" w:rsidP="000E7718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Termination date</w:t>
            </w:r>
          </w:p>
        </w:tc>
        <w:tc>
          <w:tcPr>
            <w:tcW w:w="1957" w:type="dxa"/>
          </w:tcPr>
          <w:p w14:paraId="3066066C" w14:textId="77777777" w:rsidR="00F2373B" w:rsidRPr="009B28F2" w:rsidRDefault="00F2373B" w:rsidP="000E7718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Department head</w:t>
            </w:r>
          </w:p>
        </w:tc>
        <w:tc>
          <w:tcPr>
            <w:tcW w:w="3450" w:type="dxa"/>
          </w:tcPr>
          <w:p w14:paraId="3066066D" w14:textId="77777777" w:rsidR="00F2373B" w:rsidRPr="009B28F2" w:rsidRDefault="00F2373B" w:rsidP="00FB4177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 xml:space="preserve">Submit Out-Processing Checklist to </w:t>
            </w:r>
            <w:r w:rsidR="00FB4177" w:rsidRPr="009B28F2">
              <w:rPr>
                <w:sz w:val="20"/>
                <w:szCs w:val="20"/>
              </w:rPr>
              <w:t>ED</w:t>
            </w:r>
          </w:p>
        </w:tc>
        <w:tc>
          <w:tcPr>
            <w:tcW w:w="1345" w:type="dxa"/>
          </w:tcPr>
          <w:p w14:paraId="3066066E" w14:textId="77777777" w:rsidR="00F2373B" w:rsidRPr="009B28F2" w:rsidRDefault="00F2373B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4</w:t>
            </w:r>
          </w:p>
        </w:tc>
      </w:tr>
      <w:tr w:rsidR="00A54322" w14:paraId="30660674" w14:textId="77777777" w:rsidTr="009B28F2">
        <w:tc>
          <w:tcPr>
            <w:tcW w:w="2130" w:type="dxa"/>
          </w:tcPr>
          <w:p w14:paraId="30660670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1 day after termination</w:t>
            </w:r>
          </w:p>
        </w:tc>
        <w:tc>
          <w:tcPr>
            <w:tcW w:w="1957" w:type="dxa"/>
          </w:tcPr>
          <w:p w14:paraId="30660671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Security officers</w:t>
            </w:r>
          </w:p>
        </w:tc>
        <w:tc>
          <w:tcPr>
            <w:tcW w:w="3450" w:type="dxa"/>
          </w:tcPr>
          <w:p w14:paraId="30660672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Cancel information resources access</w:t>
            </w:r>
          </w:p>
        </w:tc>
        <w:tc>
          <w:tcPr>
            <w:tcW w:w="1345" w:type="dxa"/>
          </w:tcPr>
          <w:p w14:paraId="30660673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9</w:t>
            </w:r>
          </w:p>
        </w:tc>
      </w:tr>
      <w:tr w:rsidR="00A54322" w14:paraId="30660679" w14:textId="77777777" w:rsidTr="009B28F2">
        <w:tc>
          <w:tcPr>
            <w:tcW w:w="2130" w:type="dxa"/>
          </w:tcPr>
          <w:p w14:paraId="30660675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5 days after termination</w:t>
            </w:r>
          </w:p>
        </w:tc>
        <w:tc>
          <w:tcPr>
            <w:tcW w:w="1957" w:type="dxa"/>
          </w:tcPr>
          <w:p w14:paraId="30660676" w14:textId="77777777" w:rsidR="00A54322" w:rsidRPr="009B28F2" w:rsidRDefault="00FB4177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 xml:space="preserve">ED </w:t>
            </w:r>
            <w:r w:rsidR="00A54322" w:rsidRPr="009B28F2">
              <w:rPr>
                <w:sz w:val="20"/>
                <w:szCs w:val="20"/>
              </w:rPr>
              <w:t>and payroll office</w:t>
            </w:r>
          </w:p>
        </w:tc>
        <w:tc>
          <w:tcPr>
            <w:tcW w:w="3450" w:type="dxa"/>
          </w:tcPr>
          <w:p w14:paraId="30660677" w14:textId="77777777" w:rsidR="00A54322" w:rsidRPr="009B28F2" w:rsidRDefault="00A54322" w:rsidP="00A54322">
            <w:pPr>
              <w:pStyle w:val="ListParagraph"/>
              <w:ind w:left="0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Process Form 500</w:t>
            </w:r>
          </w:p>
        </w:tc>
        <w:tc>
          <w:tcPr>
            <w:tcW w:w="1345" w:type="dxa"/>
          </w:tcPr>
          <w:p w14:paraId="30660678" w14:textId="77777777" w:rsidR="00A54322" w:rsidRPr="009B28F2" w:rsidRDefault="00A54322" w:rsidP="00D31F3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B28F2">
              <w:rPr>
                <w:sz w:val="20"/>
                <w:szCs w:val="20"/>
              </w:rPr>
              <w:t>3.</w:t>
            </w:r>
            <w:r w:rsidR="00FB3F6C" w:rsidRPr="009B28F2">
              <w:rPr>
                <w:sz w:val="20"/>
                <w:szCs w:val="20"/>
              </w:rPr>
              <w:t>6</w:t>
            </w:r>
          </w:p>
        </w:tc>
      </w:tr>
    </w:tbl>
    <w:p w14:paraId="3066067A" w14:textId="77777777" w:rsidR="00A54322" w:rsidRDefault="00A54322" w:rsidP="00906851">
      <w:pPr>
        <w:pStyle w:val="ListParagraph"/>
        <w:ind w:left="0"/>
      </w:pPr>
    </w:p>
    <w:p w14:paraId="3066067B" w14:textId="77777777" w:rsidR="009D1F7C" w:rsidRDefault="009D1F7C" w:rsidP="009D1F7C"/>
    <w:p w14:paraId="3066067C" w14:textId="132E829E" w:rsidR="00BC6105" w:rsidRDefault="009D1F7C" w:rsidP="00E45680">
      <w:pPr>
        <w:jc w:val="center"/>
      </w:pPr>
      <w:r>
        <w:t xml:space="preserve">CONTACT:  </w:t>
      </w:r>
      <w:hyperlink r:id="rId17" w:history="1">
        <w:r w:rsidR="00D31F30">
          <w:rPr>
            <w:rStyle w:val="Hyperlink"/>
          </w:rPr>
          <w:t>ED Administrative Coordinator</w:t>
        </w:r>
      </w:hyperlink>
      <w:r>
        <w:t>,</w:t>
      </w:r>
      <w:r w:rsidR="00BC6105">
        <w:t xml:space="preserve"> </w:t>
      </w:r>
      <w:r w:rsidR="00F747E0">
        <w:t>(</w:t>
      </w:r>
      <w:r w:rsidR="00BC6105">
        <w:t>979</w:t>
      </w:r>
      <w:r w:rsidR="00F747E0">
        <w:t xml:space="preserve">) </w:t>
      </w:r>
      <w:r w:rsidR="00BC6105">
        <w:t>458-</w:t>
      </w:r>
      <w:r w:rsidR="00FB4177">
        <w:t>6628</w:t>
      </w:r>
    </w:p>
    <w:p w14:paraId="3066067D" w14:textId="77777777" w:rsidR="00364A06" w:rsidRDefault="00364A06" w:rsidP="009C2F2E"/>
    <w:p w14:paraId="3066067E" w14:textId="77777777" w:rsidR="00364A06" w:rsidRDefault="00364A06" w:rsidP="009C2F2E"/>
    <w:sectPr w:rsidR="00364A06" w:rsidSect="009B28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810" w:right="1440" w:bottom="1440" w:left="135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0683" w14:textId="77777777" w:rsidR="00A54322" w:rsidRDefault="00A54322">
      <w:r>
        <w:separator/>
      </w:r>
    </w:p>
  </w:endnote>
  <w:endnote w:type="continuationSeparator" w:id="0">
    <w:p w14:paraId="30660684" w14:textId="77777777" w:rsidR="00A54322" w:rsidRDefault="00A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7" w14:textId="77777777" w:rsidR="007F2DDB" w:rsidRDefault="007F2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8" w14:textId="77777777" w:rsidR="00A54322" w:rsidRDefault="00A54322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5F0C">
      <w:rPr>
        <w:noProof/>
      </w:rPr>
      <w:t>2</w:t>
    </w:r>
    <w:r>
      <w:rPr>
        <w:noProof/>
      </w:rPr>
      <w:fldChar w:fldCharType="end"/>
    </w:r>
    <w:r>
      <w:t xml:space="preserve"> of </w:t>
    </w:r>
    <w:r w:rsidR="00F747E0">
      <w:fldChar w:fldCharType="begin"/>
    </w:r>
    <w:r w:rsidR="00F747E0">
      <w:instrText xml:space="preserve"> NUMPAGES </w:instrText>
    </w:r>
    <w:r w:rsidR="00F747E0">
      <w:fldChar w:fldCharType="separate"/>
    </w:r>
    <w:r w:rsidR="00385F0C">
      <w:rPr>
        <w:noProof/>
      </w:rPr>
      <w:t>2</w:t>
    </w:r>
    <w:r w:rsidR="00F747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A" w14:textId="77777777" w:rsidR="007F2DDB" w:rsidRDefault="007F2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0681" w14:textId="77777777" w:rsidR="00A54322" w:rsidRDefault="00A54322">
      <w:r>
        <w:separator/>
      </w:r>
    </w:p>
  </w:footnote>
  <w:footnote w:type="continuationSeparator" w:id="0">
    <w:p w14:paraId="30660682" w14:textId="77777777" w:rsidR="00A54322" w:rsidRDefault="00A5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5" w14:textId="77777777" w:rsidR="007F2DDB" w:rsidRDefault="007F2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6" w14:textId="77777777" w:rsidR="00A54322" w:rsidRDefault="00A54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89" w14:textId="77777777" w:rsidR="007F2DDB" w:rsidRDefault="007F2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878"/>
    <w:multiLevelType w:val="multilevel"/>
    <w:tmpl w:val="B85AF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6270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31CE"/>
    <w:rsid w:val="0001309B"/>
    <w:rsid w:val="0009323F"/>
    <w:rsid w:val="001071BC"/>
    <w:rsid w:val="00115A08"/>
    <w:rsid w:val="00134688"/>
    <w:rsid w:val="00157F19"/>
    <w:rsid w:val="00177838"/>
    <w:rsid w:val="0019512E"/>
    <w:rsid w:val="001F3A90"/>
    <w:rsid w:val="002927BB"/>
    <w:rsid w:val="002977B1"/>
    <w:rsid w:val="00336AF6"/>
    <w:rsid w:val="00350247"/>
    <w:rsid w:val="00364A06"/>
    <w:rsid w:val="00385F0C"/>
    <w:rsid w:val="003B205E"/>
    <w:rsid w:val="003C3A86"/>
    <w:rsid w:val="003E458C"/>
    <w:rsid w:val="003F0620"/>
    <w:rsid w:val="00406D03"/>
    <w:rsid w:val="00465232"/>
    <w:rsid w:val="00482900"/>
    <w:rsid w:val="00502D63"/>
    <w:rsid w:val="00582455"/>
    <w:rsid w:val="00587C98"/>
    <w:rsid w:val="005A288D"/>
    <w:rsid w:val="005A7270"/>
    <w:rsid w:val="005C301F"/>
    <w:rsid w:val="005D19C0"/>
    <w:rsid w:val="005D69DB"/>
    <w:rsid w:val="00605AB0"/>
    <w:rsid w:val="00606B50"/>
    <w:rsid w:val="006133D8"/>
    <w:rsid w:val="006668C9"/>
    <w:rsid w:val="0067492D"/>
    <w:rsid w:val="00686134"/>
    <w:rsid w:val="00695EFA"/>
    <w:rsid w:val="006B5377"/>
    <w:rsid w:val="006E384B"/>
    <w:rsid w:val="006E5703"/>
    <w:rsid w:val="007223FA"/>
    <w:rsid w:val="007617BF"/>
    <w:rsid w:val="00781540"/>
    <w:rsid w:val="007D6C99"/>
    <w:rsid w:val="007F1C11"/>
    <w:rsid w:val="007F2DDB"/>
    <w:rsid w:val="0081792E"/>
    <w:rsid w:val="00821E24"/>
    <w:rsid w:val="008350A2"/>
    <w:rsid w:val="008661E5"/>
    <w:rsid w:val="00885A97"/>
    <w:rsid w:val="00892C33"/>
    <w:rsid w:val="008933E6"/>
    <w:rsid w:val="008D76A4"/>
    <w:rsid w:val="008E1B56"/>
    <w:rsid w:val="008E5720"/>
    <w:rsid w:val="0090116D"/>
    <w:rsid w:val="00906851"/>
    <w:rsid w:val="0093607A"/>
    <w:rsid w:val="00946FD7"/>
    <w:rsid w:val="00986A59"/>
    <w:rsid w:val="00992A8B"/>
    <w:rsid w:val="009A3CC8"/>
    <w:rsid w:val="009B28F2"/>
    <w:rsid w:val="009C1C6E"/>
    <w:rsid w:val="009C2F2E"/>
    <w:rsid w:val="009D1F7C"/>
    <w:rsid w:val="009E5BFC"/>
    <w:rsid w:val="00A43C89"/>
    <w:rsid w:val="00A54322"/>
    <w:rsid w:val="00A93D4A"/>
    <w:rsid w:val="00AA690E"/>
    <w:rsid w:val="00AC3710"/>
    <w:rsid w:val="00AF40B4"/>
    <w:rsid w:val="00B23A9C"/>
    <w:rsid w:val="00B31B1A"/>
    <w:rsid w:val="00B34F79"/>
    <w:rsid w:val="00B665FA"/>
    <w:rsid w:val="00BA5E7E"/>
    <w:rsid w:val="00BC6105"/>
    <w:rsid w:val="00C03747"/>
    <w:rsid w:val="00C278CD"/>
    <w:rsid w:val="00C464AA"/>
    <w:rsid w:val="00C74F59"/>
    <w:rsid w:val="00C863BE"/>
    <w:rsid w:val="00CA7E34"/>
    <w:rsid w:val="00CE0CEF"/>
    <w:rsid w:val="00CE4FBF"/>
    <w:rsid w:val="00D11C13"/>
    <w:rsid w:val="00D31F30"/>
    <w:rsid w:val="00D41B99"/>
    <w:rsid w:val="00D52338"/>
    <w:rsid w:val="00D70D8B"/>
    <w:rsid w:val="00D8640B"/>
    <w:rsid w:val="00DA3732"/>
    <w:rsid w:val="00DA72EC"/>
    <w:rsid w:val="00DB099B"/>
    <w:rsid w:val="00DC7D12"/>
    <w:rsid w:val="00DD0A59"/>
    <w:rsid w:val="00DE0487"/>
    <w:rsid w:val="00E45680"/>
    <w:rsid w:val="00E4579C"/>
    <w:rsid w:val="00EE5212"/>
    <w:rsid w:val="00F2373B"/>
    <w:rsid w:val="00F72A4F"/>
    <w:rsid w:val="00F747E0"/>
    <w:rsid w:val="00FB3F6C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0660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05"/>
    <w:pPr>
      <w:ind w:left="720"/>
      <w:contextualSpacing/>
    </w:pPr>
  </w:style>
  <w:style w:type="character" w:styleId="Hyperlink">
    <w:name w:val="Hyperlink"/>
    <w:basedOn w:val="DefaultParagraphFont"/>
    <w:rsid w:val="00115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071B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fsfinance.tamu.edu/modules/finance/admin/procedures/Employee%20Out%20Processing%20Checklist%20-%20Terminating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michalak@tfs.tamu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fsfinance.tamu.edu/modules/finance/admin/guidelines/Key%20Control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tfsfinance.tamu.edu/modules/finance/admin/admin_procedures/3001%20Personnel%20Action%20Request.docx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fsfinance.tamu.edu/modules/finance/admin/procedures/Form%20500%20Personnel%20Budget%20Action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UEKHZ4HHEJXQ-292801454-162170</_dlc_DocId>
    <_dlc_DocIdUrl xmlns="6819ce1a-c6ed-457e-aaaa-d09a469b0545">
      <Url>https://texasforestservice.sharepoint.com/sites/Share-AssociateDirectorsOffice-FIAD/_layouts/15/DocIdRedir.aspx?ID=UEKHZ4HHEJXQ-292801454-162170</Url>
      <Description>UEKHZ4HHEJXQ-292801454-162170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AF283-A5D3-4643-9DC6-3F0144B6D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9ce1a-c6ed-457e-aaaa-d09a469b0545"/>
    <ds:schemaRef ds:uri="096f3cc7-3874-4d01-bd76-f2f69c5613b9"/>
  </ds:schemaRefs>
</ds:datastoreItem>
</file>

<file path=customXml/itemProps2.xml><?xml version="1.0" encoding="utf-8"?>
<ds:datastoreItem xmlns:ds="http://schemas.openxmlformats.org/officeDocument/2006/customXml" ds:itemID="{FA994435-07AF-441B-AE2B-B26A2AA4F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83FEBB-C239-4756-8CD6-328CF8CF0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BCA11-0B7D-4706-AF32-D1078F0602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1E12B-EF47-4204-9848-EFCC2212C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4847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2022-07-05T13:31:00Z</dcterms:created>
  <dcterms:modified xsi:type="dcterms:W3CDTF">2022-07-05T18:46:00Z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186200</vt:r8>
  </property>
  <property fmtid="{D5CDD505-2E9C-101B-9397-08002B2CF9AE}" pid="4" name="_dlc_DocIdItemGuid">
    <vt:lpwstr>aaeef81c-43f3-4ffc-be4d-69ca52fd0f9b</vt:lpwstr>
  </property>
  <property fmtid="{D5CDD505-2E9C-101B-9397-08002B2CF9AE}" pid="5" name="MediaServiceImageTags">
    <vt:lpwstr/>
  </property>
</Properties>
</file>